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8191" w14:textId="7E835A4B" w:rsidR="00805C45" w:rsidRPr="00805C45" w:rsidRDefault="00805C45" w:rsidP="00561D86">
      <w:pPr>
        <w:tabs>
          <w:tab w:val="right" w:pos="9972"/>
        </w:tabs>
        <w:spacing w:after="0"/>
        <w:jc w:val="both"/>
        <w:rPr>
          <w:rFonts w:ascii="Arial" w:eastAsia="Aptos" w:hAnsi="Arial" w:cs="Arial"/>
          <w:b/>
          <w:bCs/>
          <w:sz w:val="22"/>
          <w:szCs w:val="22"/>
        </w:rPr>
      </w:pPr>
      <w:bookmarkStart w:id="0" w:name="_Hlk495298459"/>
      <w:r w:rsidRPr="00805C45">
        <w:rPr>
          <w:rFonts w:ascii="Arial" w:eastAsia="Aptos" w:hAnsi="Arial" w:cs="Arial"/>
          <w:b/>
          <w:bCs/>
          <w:sz w:val="22"/>
          <w:szCs w:val="22"/>
        </w:rPr>
        <w:t>3GPP TSG-RAN WG4 #116</w:t>
      </w:r>
      <w:r w:rsidRPr="00805C45">
        <w:rPr>
          <w:rFonts w:ascii="Aptos" w:eastAsia="Aptos" w:hAnsi="Aptos" w:cs="Times New Roman"/>
        </w:rPr>
        <w:tab/>
      </w:r>
      <w:r w:rsidRPr="00805C45">
        <w:rPr>
          <w:rFonts w:ascii="Arial" w:eastAsia="Aptos" w:hAnsi="Arial" w:cs="Arial"/>
          <w:b/>
          <w:bCs/>
          <w:sz w:val="22"/>
          <w:szCs w:val="22"/>
        </w:rPr>
        <w:t>R4-</w:t>
      </w:r>
      <w:r w:rsidR="00E714BE">
        <w:rPr>
          <w:rFonts w:ascii="Arial" w:eastAsia="Aptos" w:hAnsi="Arial" w:cs="Arial"/>
          <w:b/>
          <w:bCs/>
          <w:sz w:val="22"/>
          <w:szCs w:val="22"/>
        </w:rPr>
        <w:t>250</w:t>
      </w:r>
      <w:r w:rsidR="00FF0E06">
        <w:rPr>
          <w:rFonts w:ascii="Arial" w:eastAsia="Aptos" w:hAnsi="Arial" w:cs="Arial"/>
          <w:b/>
          <w:bCs/>
          <w:sz w:val="22"/>
          <w:szCs w:val="22"/>
        </w:rPr>
        <w:t>9944</w:t>
      </w:r>
    </w:p>
    <w:p w14:paraId="58685BEF" w14:textId="3083D9D9" w:rsidR="00805C45" w:rsidRPr="00805C45" w:rsidRDefault="00805C45" w:rsidP="00DF7D25">
      <w:pPr>
        <w:widowControl w:val="0"/>
        <w:tabs>
          <w:tab w:val="right" w:pos="99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noProof/>
          <w:kern w:val="0"/>
          <w:sz w:val="22"/>
          <w:szCs w:val="20"/>
          <w14:ligatures w14:val="none"/>
        </w:rPr>
      </w:pPr>
      <w:r w:rsidRPr="00805C45">
        <w:rPr>
          <w:rFonts w:ascii="Arial" w:eastAsia="SimSun" w:hAnsi="Arial" w:cs="Arial"/>
          <w:b/>
          <w:noProof/>
          <w:kern w:val="0"/>
          <w:sz w:val="22"/>
          <w14:ligatures w14:val="none"/>
        </w:rPr>
        <w:t>Bengaluru, India, August 25-29, 2025</w:t>
      </w:r>
      <w:r w:rsidRPr="00805C45">
        <w:rPr>
          <w:rFonts w:ascii="Arial" w:eastAsia="SimSun" w:hAnsi="Arial" w:cs="Arial"/>
          <w:b/>
          <w:noProof/>
          <w:kern w:val="0"/>
          <w:sz w:val="22"/>
          <w14:ligatures w14:val="none"/>
        </w:rPr>
        <w:tab/>
      </w:r>
    </w:p>
    <w:p w14:paraId="369BCBDF" w14:textId="77777777" w:rsidR="00805C45" w:rsidRPr="00805C45" w:rsidRDefault="00805C45" w:rsidP="00DF7D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noProof/>
          <w:kern w:val="0"/>
          <w14:ligatures w14:val="none"/>
        </w:rPr>
      </w:pPr>
    </w:p>
    <w:p w14:paraId="32D858C8" w14:textId="402278BF" w:rsidR="00805C45" w:rsidRDefault="00805C45" w:rsidP="00561D86">
      <w:pPr>
        <w:tabs>
          <w:tab w:val="left" w:pos="1985"/>
        </w:tabs>
        <w:jc w:val="both"/>
        <w:rPr>
          <w:rFonts w:ascii="Arial" w:eastAsia="Aptos" w:hAnsi="Arial" w:cs="Times New Roman"/>
          <w:b/>
          <w:sz w:val="22"/>
        </w:rPr>
      </w:pPr>
      <w:r w:rsidRPr="00805C45">
        <w:rPr>
          <w:rFonts w:ascii="Arial" w:eastAsia="Aptos" w:hAnsi="Arial" w:cs="Times New Roman"/>
          <w:b/>
          <w:sz w:val="22"/>
        </w:rPr>
        <w:t xml:space="preserve">Source: </w:t>
      </w:r>
      <w:r w:rsidR="00F373E0">
        <w:rPr>
          <w:rFonts w:ascii="Arial" w:eastAsia="Aptos" w:hAnsi="Arial" w:cs="Times New Roman"/>
          <w:b/>
          <w:sz w:val="22"/>
        </w:rPr>
        <w:tab/>
      </w:r>
      <w:r w:rsidRPr="005E5148">
        <w:rPr>
          <w:rFonts w:ascii="Arial" w:eastAsia="Aptos" w:hAnsi="Arial" w:cs="Times New Roman"/>
          <w:bCs/>
          <w:sz w:val="22"/>
        </w:rPr>
        <w:t>APCO</w:t>
      </w:r>
      <w:r w:rsidR="00E46067">
        <w:rPr>
          <w:rFonts w:ascii="Arial" w:eastAsia="Aptos" w:hAnsi="Arial" w:cs="Times New Roman"/>
          <w:bCs/>
          <w:sz w:val="22"/>
        </w:rPr>
        <w:t xml:space="preserve"> International</w:t>
      </w:r>
      <w:r w:rsidRPr="005E5148">
        <w:rPr>
          <w:rFonts w:ascii="Arial" w:eastAsia="Aptos" w:hAnsi="Arial" w:cs="Times New Roman"/>
          <w:bCs/>
          <w:sz w:val="22"/>
        </w:rPr>
        <w:t>, FirstNet</w:t>
      </w:r>
    </w:p>
    <w:p w14:paraId="30D2CD32" w14:textId="1485CE01" w:rsidR="00805C45" w:rsidRDefault="00805C45" w:rsidP="00561D86">
      <w:pPr>
        <w:ind w:left="1988" w:hanging="1988"/>
        <w:jc w:val="both"/>
        <w:rPr>
          <w:rFonts w:ascii="Arial" w:eastAsia="Aptos" w:hAnsi="Arial" w:cs="Times New Roman"/>
          <w:sz w:val="22"/>
        </w:rPr>
      </w:pPr>
      <w:r w:rsidRPr="00805C45">
        <w:rPr>
          <w:rFonts w:ascii="Arial" w:eastAsia="Aptos" w:hAnsi="Arial" w:cs="Times New Roman"/>
          <w:b/>
          <w:sz w:val="22"/>
        </w:rPr>
        <w:t>Title:</w:t>
      </w:r>
      <w:r w:rsidRPr="00805C45">
        <w:rPr>
          <w:rFonts w:ascii="Arial" w:eastAsia="Aptos" w:hAnsi="Arial" w:cs="Times New Roman"/>
          <w:sz w:val="22"/>
        </w:rPr>
        <w:t xml:space="preserve"> </w:t>
      </w:r>
      <w:r w:rsidR="002A2042">
        <w:rPr>
          <w:rFonts w:ascii="Arial" w:eastAsia="Aptos" w:hAnsi="Arial" w:cs="Times New Roman"/>
          <w:sz w:val="22"/>
        </w:rPr>
        <w:tab/>
      </w:r>
      <w:r w:rsidRPr="002A2042">
        <w:rPr>
          <w:rFonts w:ascii="Arial" w:eastAsia="Aptos" w:hAnsi="Arial" w:cs="Times New Roman"/>
          <w:sz w:val="22"/>
        </w:rPr>
        <w:t xml:space="preserve">Discussion </w:t>
      </w:r>
      <w:r w:rsidR="000F675B" w:rsidRPr="002A2042">
        <w:rPr>
          <w:rFonts w:ascii="Arial" w:eastAsia="Aptos" w:hAnsi="Arial" w:cs="Times New Roman"/>
          <w:sz w:val="22"/>
        </w:rPr>
        <w:t>on</w:t>
      </w:r>
      <w:r w:rsidRPr="002A2042">
        <w:rPr>
          <w:rFonts w:ascii="Arial" w:eastAsia="Aptos" w:hAnsi="Arial" w:cs="Times New Roman"/>
          <w:sz w:val="22"/>
        </w:rPr>
        <w:t xml:space="preserve"> coexistence requirements of NR TDD 4940-4990 MHz band for US public safety operation.</w:t>
      </w:r>
    </w:p>
    <w:bookmarkEnd w:id="0"/>
    <w:p w14:paraId="089AB6B7" w14:textId="4845E993" w:rsidR="00031819" w:rsidRPr="00C76B55" w:rsidRDefault="00031819" w:rsidP="000802C3">
      <w:pPr>
        <w:tabs>
          <w:tab w:val="left" w:pos="1985"/>
        </w:tabs>
        <w:ind w:left="1980" w:hanging="1980"/>
        <w:jc w:val="both"/>
        <w:rPr>
          <w:rFonts w:ascii="Arial" w:eastAsia="Aptos" w:hAnsi="Arial" w:cs="Times New Roman"/>
          <w:bCs/>
          <w:sz w:val="22"/>
        </w:rPr>
      </w:pPr>
      <w:r w:rsidRPr="00805C45">
        <w:rPr>
          <w:rFonts w:ascii="Arial" w:eastAsia="Aptos" w:hAnsi="Arial" w:cs="Times New Roman"/>
          <w:b/>
          <w:sz w:val="22"/>
        </w:rPr>
        <w:t>Agenda item:</w:t>
      </w:r>
      <w:r>
        <w:rPr>
          <w:rFonts w:ascii="Arial" w:eastAsia="Aptos" w:hAnsi="Arial" w:cs="Times New Roman"/>
          <w:b/>
          <w:sz w:val="22"/>
        </w:rPr>
        <w:tab/>
      </w:r>
      <w:r w:rsidRPr="00C76B55">
        <w:rPr>
          <w:rFonts w:ascii="Arial" w:eastAsia="Aptos" w:hAnsi="Arial" w:cs="Times New Roman"/>
          <w:bCs/>
          <w:sz w:val="22"/>
        </w:rPr>
        <w:t>6.14.2</w:t>
      </w:r>
    </w:p>
    <w:p w14:paraId="2216B728" w14:textId="4945CCF9" w:rsidR="00805C45" w:rsidRPr="00805C45" w:rsidRDefault="00805C45" w:rsidP="00561D86">
      <w:pPr>
        <w:ind w:left="1988" w:hanging="1988"/>
        <w:jc w:val="both"/>
        <w:rPr>
          <w:rFonts w:ascii="Arial" w:eastAsia="Aptos" w:hAnsi="Arial" w:cs="Times New Roman"/>
          <w:sz w:val="22"/>
        </w:rPr>
      </w:pPr>
      <w:r w:rsidRPr="00805C45">
        <w:rPr>
          <w:rFonts w:ascii="Arial" w:eastAsia="Aptos" w:hAnsi="Arial" w:cs="Times New Roman"/>
          <w:b/>
          <w:sz w:val="22"/>
        </w:rPr>
        <w:t xml:space="preserve">Document for: </w:t>
      </w:r>
      <w:r w:rsidR="002A2042">
        <w:rPr>
          <w:rFonts w:ascii="Arial" w:eastAsia="Aptos" w:hAnsi="Arial" w:cs="Times New Roman"/>
          <w:b/>
          <w:sz w:val="22"/>
        </w:rPr>
        <w:tab/>
      </w:r>
      <w:r w:rsidRPr="00805C45">
        <w:rPr>
          <w:rFonts w:ascii="Arial" w:eastAsia="Aptos" w:hAnsi="Arial" w:cs="Times New Roman"/>
          <w:bCs/>
          <w:sz w:val="22"/>
        </w:rPr>
        <w:t>Discussion</w:t>
      </w:r>
      <w:r w:rsidR="00770E07">
        <w:rPr>
          <w:rFonts w:ascii="Arial" w:eastAsia="Aptos" w:hAnsi="Arial" w:cs="Times New Roman"/>
          <w:bCs/>
          <w:sz w:val="22"/>
        </w:rPr>
        <w:t xml:space="preserve"> and Decision</w:t>
      </w:r>
    </w:p>
    <w:p w14:paraId="5C7D31A7" w14:textId="77777777" w:rsidR="00805C45" w:rsidRPr="005E5148" w:rsidRDefault="00805C45" w:rsidP="00561D86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ptos Display" w:eastAsia="Times New Roman" w:hAnsi="Aptos Display" w:cs="Times New Roman"/>
          <w:color w:val="0F4761"/>
          <w:sz w:val="40"/>
          <w:szCs w:val="40"/>
        </w:rPr>
      </w:pPr>
      <w:r w:rsidRPr="005E5148">
        <w:rPr>
          <w:rFonts w:ascii="Aptos Display" w:eastAsia="Times New Roman" w:hAnsi="Aptos Display" w:cs="Times New Roman"/>
          <w:color w:val="0F4761"/>
          <w:sz w:val="40"/>
          <w:szCs w:val="40"/>
        </w:rPr>
        <w:t>Introduction</w:t>
      </w:r>
    </w:p>
    <w:p w14:paraId="11A90FEC" w14:textId="261EB6A4" w:rsidR="00A55708" w:rsidRPr="00A55708" w:rsidRDefault="00805C45" w:rsidP="00561D86">
      <w:pPr>
        <w:jc w:val="both"/>
        <w:rPr>
          <w:rFonts w:ascii="Aptos" w:eastAsia="Aptos" w:hAnsi="Aptos" w:cs="Times New Roman"/>
          <w:bCs/>
        </w:rPr>
      </w:pPr>
      <w:r w:rsidRPr="00805C45">
        <w:rPr>
          <w:rFonts w:ascii="Aptos" w:eastAsia="Aptos" w:hAnsi="Aptos" w:cs="Times New Roman"/>
        </w:rPr>
        <w:t>In RAN 4 #108, a new work item</w:t>
      </w:r>
      <w:r w:rsidR="007B4E8F">
        <w:rPr>
          <w:rFonts w:ascii="Aptos" w:eastAsia="Aptos" w:hAnsi="Aptos" w:cs="Times New Roman"/>
        </w:rPr>
        <w:t xml:space="preserve"> [1]</w:t>
      </w:r>
      <w:r w:rsidRPr="00805C45">
        <w:rPr>
          <w:rFonts w:ascii="Aptos" w:eastAsia="Aptos" w:hAnsi="Aptos" w:cs="Times New Roman"/>
        </w:rPr>
        <w:t xml:space="preserve"> for a new NR TDD 4940-4990 MHz band for US Public Safety operation was approved. </w:t>
      </w:r>
      <w:r w:rsidR="008F6FEC">
        <w:rPr>
          <w:rFonts w:ascii="Aptos" w:eastAsia="Aptos" w:hAnsi="Aptos" w:cs="Times New Roman"/>
        </w:rPr>
        <w:t>The WID</w:t>
      </w:r>
      <w:r w:rsidR="009C2EAB">
        <w:rPr>
          <w:rFonts w:ascii="Aptos" w:eastAsia="Aptos" w:hAnsi="Aptos" w:cs="Times New Roman"/>
        </w:rPr>
        <w:t xml:space="preserve"> [1]</w:t>
      </w:r>
      <w:r w:rsidR="008F6FEC">
        <w:rPr>
          <w:rFonts w:ascii="Aptos" w:eastAsia="Aptos" w:hAnsi="Aptos" w:cs="Times New Roman"/>
        </w:rPr>
        <w:t xml:space="preserve"> </w:t>
      </w:r>
      <w:r w:rsidR="00387826">
        <w:rPr>
          <w:rFonts w:ascii="Aptos" w:eastAsia="Aptos" w:hAnsi="Aptos" w:cs="Times New Roman"/>
        </w:rPr>
        <w:t>includes a</w:t>
      </w:r>
      <w:r w:rsidR="00A55708" w:rsidRPr="00A55708">
        <w:rPr>
          <w:rFonts w:ascii="Aptos" w:eastAsia="Aptos" w:hAnsi="Aptos" w:cs="Times New Roman"/>
          <w:bCs/>
        </w:rPr>
        <w:t xml:space="preserve"> one quarter </w:t>
      </w:r>
      <w:r w:rsidR="00AB260E">
        <w:rPr>
          <w:rFonts w:ascii="Aptos" w:eastAsia="Aptos" w:hAnsi="Aptos" w:cs="Times New Roman"/>
          <w:bCs/>
        </w:rPr>
        <w:t xml:space="preserve">short </w:t>
      </w:r>
      <w:r w:rsidR="00A55708" w:rsidRPr="00A55708">
        <w:rPr>
          <w:rFonts w:ascii="Aptos" w:eastAsia="Aptos" w:hAnsi="Aptos" w:cs="Times New Roman"/>
          <w:bCs/>
        </w:rPr>
        <w:t xml:space="preserve">study phase to identify and document coexistence requirements for the new </w:t>
      </w:r>
      <w:proofErr w:type="gramStart"/>
      <w:r w:rsidR="00A55708" w:rsidRPr="00A55708">
        <w:rPr>
          <w:rFonts w:ascii="Aptos" w:eastAsia="Aptos" w:hAnsi="Aptos" w:cs="Times New Roman"/>
          <w:bCs/>
        </w:rPr>
        <w:t>band</w:t>
      </w:r>
      <w:proofErr w:type="gramEnd"/>
      <w:r w:rsidR="00387826">
        <w:rPr>
          <w:rFonts w:ascii="Aptos" w:eastAsia="Aptos" w:hAnsi="Aptos" w:cs="Times New Roman"/>
          <w:bCs/>
        </w:rPr>
        <w:t xml:space="preserve"> as specified below</w:t>
      </w:r>
      <w:r w:rsidR="00A55708" w:rsidRPr="00A55708">
        <w:rPr>
          <w:rFonts w:ascii="Aptos" w:eastAsia="Aptos" w:hAnsi="Aptos" w:cs="Times New Roman"/>
          <w:bCs/>
        </w:rPr>
        <w:t>:</w:t>
      </w:r>
    </w:p>
    <w:p w14:paraId="561F03F2" w14:textId="77777777" w:rsidR="00E46632" w:rsidRPr="00835627" w:rsidRDefault="00E46632" w:rsidP="00835627">
      <w:pPr>
        <w:pStyle w:val="B1"/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 xml:space="preserve">Study coexistence issues with adjacent spectrum and other users of the 4940-4990 MHz band. </w:t>
      </w:r>
    </w:p>
    <w:p w14:paraId="7EE72E75" w14:textId="77777777" w:rsidR="00E46632" w:rsidRPr="00835627" w:rsidRDefault="00E46632" w:rsidP="00835627">
      <w:pPr>
        <w:pStyle w:val="B1"/>
        <w:widowControl w:val="0"/>
        <w:numPr>
          <w:ilvl w:val="2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Identify adjacent spectrum protection requirements</w:t>
      </w:r>
    </w:p>
    <w:p w14:paraId="05EE2CA7" w14:textId="77777777" w:rsidR="00E46632" w:rsidRPr="00835627" w:rsidRDefault="00E46632" w:rsidP="00835627">
      <w:pPr>
        <w:pStyle w:val="B1"/>
        <w:widowControl w:val="0"/>
        <w:numPr>
          <w:ilvl w:val="3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 xml:space="preserve">Identify any potential emission limits more stringent than the normal BS and UE emission masks </w:t>
      </w:r>
    </w:p>
    <w:p w14:paraId="1D33B6BF" w14:textId="77777777" w:rsidR="00E46632" w:rsidRPr="00835627" w:rsidRDefault="00E46632" w:rsidP="00835627">
      <w:pPr>
        <w:pStyle w:val="B1"/>
        <w:widowControl w:val="0"/>
        <w:numPr>
          <w:ilvl w:val="2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Identify other technologies operating in the 4940-4990 MHz band</w:t>
      </w:r>
    </w:p>
    <w:p w14:paraId="63F67A14" w14:textId="77777777" w:rsidR="00E46632" w:rsidRPr="00835627" w:rsidRDefault="00E46632" w:rsidP="00835627">
      <w:pPr>
        <w:pStyle w:val="B1"/>
        <w:widowControl w:val="0"/>
        <w:numPr>
          <w:ilvl w:val="3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Identify potential coexistence mechanism(s)</w:t>
      </w:r>
    </w:p>
    <w:p w14:paraId="01B6300E" w14:textId="77777777" w:rsidR="00E46632" w:rsidRPr="00835627" w:rsidRDefault="00E46632" w:rsidP="00835627">
      <w:pPr>
        <w:pStyle w:val="B1"/>
        <w:widowControl w:val="0"/>
        <w:numPr>
          <w:ilvl w:val="4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Frequency division sharing</w:t>
      </w:r>
    </w:p>
    <w:p w14:paraId="455E33F2" w14:textId="77777777" w:rsidR="00E46632" w:rsidRPr="00835627" w:rsidRDefault="00E46632" w:rsidP="00835627">
      <w:pPr>
        <w:pStyle w:val="B1"/>
        <w:widowControl w:val="0"/>
        <w:numPr>
          <w:ilvl w:val="4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Geographic separation</w:t>
      </w:r>
    </w:p>
    <w:p w14:paraId="49FBA0DC" w14:textId="77777777" w:rsidR="00E46632" w:rsidRPr="00835627" w:rsidRDefault="00E46632" w:rsidP="00835627">
      <w:pPr>
        <w:pStyle w:val="B1"/>
        <w:widowControl w:val="0"/>
        <w:numPr>
          <w:ilvl w:val="4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TDD synchronization</w:t>
      </w:r>
    </w:p>
    <w:p w14:paraId="5556EF83" w14:textId="77777777" w:rsidR="00E46632" w:rsidRPr="00835627" w:rsidRDefault="00E46632" w:rsidP="00835627">
      <w:pPr>
        <w:pStyle w:val="B1"/>
        <w:widowControl w:val="0"/>
        <w:numPr>
          <w:ilvl w:val="3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35627">
        <w:rPr>
          <w:rFonts w:ascii="Arial" w:hAnsi="Arial" w:cs="Arial"/>
          <w:b/>
          <w:bCs/>
          <w:i/>
          <w:iCs/>
          <w:sz w:val="24"/>
          <w:szCs w:val="24"/>
        </w:rPr>
        <w:t>Identify any potential emission limits more stringent than the normal BS and UE emission masks</w:t>
      </w:r>
    </w:p>
    <w:p w14:paraId="6AF6F290" w14:textId="77777777" w:rsidR="005E6C67" w:rsidRDefault="005E6C67" w:rsidP="00561D86">
      <w:pPr>
        <w:jc w:val="both"/>
        <w:rPr>
          <w:rFonts w:ascii="Arial" w:eastAsia="Aptos" w:hAnsi="Arial" w:cs="Arial"/>
          <w:lang w:val="en-GB"/>
        </w:rPr>
      </w:pPr>
    </w:p>
    <w:p w14:paraId="24F9244F" w14:textId="16703D93" w:rsidR="00611B7D" w:rsidRPr="005E5148" w:rsidRDefault="0077696D" w:rsidP="00561D86">
      <w:pPr>
        <w:jc w:val="both"/>
        <w:rPr>
          <w:rFonts w:ascii="Arial" w:hAnsi="Arial" w:cs="Arial"/>
        </w:rPr>
      </w:pPr>
      <w:r>
        <w:rPr>
          <w:rFonts w:ascii="Arial" w:eastAsia="Aptos" w:hAnsi="Arial" w:cs="Arial"/>
        </w:rPr>
        <w:t xml:space="preserve">In this </w:t>
      </w:r>
      <w:r w:rsidR="00EB3AAE">
        <w:rPr>
          <w:rFonts w:ascii="Arial" w:eastAsia="Aptos" w:hAnsi="Arial" w:cs="Arial"/>
        </w:rPr>
        <w:t>discussion paper</w:t>
      </w:r>
      <w:r w:rsidR="00E26E1C">
        <w:rPr>
          <w:rFonts w:ascii="Arial" w:eastAsia="Aptos" w:hAnsi="Arial" w:cs="Arial"/>
        </w:rPr>
        <w:t xml:space="preserve">, we </w:t>
      </w:r>
      <w:r w:rsidR="007D2651">
        <w:rPr>
          <w:rFonts w:ascii="Arial" w:eastAsia="Aptos" w:hAnsi="Arial" w:cs="Arial"/>
        </w:rPr>
        <w:t>provide</w:t>
      </w:r>
      <w:r w:rsidR="00B13285">
        <w:rPr>
          <w:rFonts w:ascii="Arial" w:eastAsia="Aptos" w:hAnsi="Arial" w:cs="Arial"/>
        </w:rPr>
        <w:t xml:space="preserve"> our views on </w:t>
      </w:r>
      <w:r w:rsidR="00E26E1C" w:rsidRPr="00E26E1C">
        <w:rPr>
          <w:rFonts w:ascii="Arial" w:eastAsia="Aptos" w:hAnsi="Arial" w:cs="Arial"/>
        </w:rPr>
        <w:t>coexistence issues with adjacent spectrum and other users of the 4940-4990 MHz band</w:t>
      </w:r>
      <w:r w:rsidR="00B13285">
        <w:rPr>
          <w:rFonts w:ascii="Arial" w:eastAsia="Aptos" w:hAnsi="Arial" w:cs="Arial"/>
        </w:rPr>
        <w:t xml:space="preserve">. We would </w:t>
      </w:r>
      <w:r w:rsidR="004773FF">
        <w:rPr>
          <w:rFonts w:ascii="Arial" w:eastAsia="Aptos" w:hAnsi="Arial" w:cs="Arial"/>
        </w:rPr>
        <w:t xml:space="preserve">like to </w:t>
      </w:r>
      <w:r w:rsidR="00BA775D">
        <w:rPr>
          <w:rFonts w:ascii="Arial" w:eastAsia="Aptos" w:hAnsi="Arial" w:cs="Arial"/>
        </w:rPr>
        <w:t>request RAN4 to consider our input and finding</w:t>
      </w:r>
      <w:r w:rsidR="004773FF">
        <w:rPr>
          <w:rFonts w:ascii="Arial" w:eastAsia="Aptos" w:hAnsi="Arial" w:cs="Arial"/>
        </w:rPr>
        <w:t xml:space="preserve">s </w:t>
      </w:r>
      <w:r w:rsidR="00094BA5" w:rsidRPr="00094BA5">
        <w:rPr>
          <w:rFonts w:ascii="Arial" w:eastAsia="Aptos" w:hAnsi="Arial" w:cs="Arial"/>
        </w:rPr>
        <w:t>to progress the work and start normative work as soon as possible</w:t>
      </w:r>
      <w:r w:rsidR="0006178C">
        <w:rPr>
          <w:rFonts w:ascii="Arial" w:eastAsia="Aptos" w:hAnsi="Arial" w:cs="Arial"/>
        </w:rPr>
        <w:t xml:space="preserve">. </w:t>
      </w:r>
    </w:p>
    <w:p w14:paraId="7C519724" w14:textId="77777777" w:rsidR="00475343" w:rsidRPr="004143C1" w:rsidRDefault="00475343" w:rsidP="00561D86">
      <w:pPr>
        <w:jc w:val="both"/>
        <w:rPr>
          <w:rFonts w:ascii="Arial" w:hAnsi="Arial" w:cs="Arial"/>
        </w:rPr>
      </w:pPr>
    </w:p>
    <w:p w14:paraId="31E302AB" w14:textId="14F0E77F" w:rsidR="00805C45" w:rsidRPr="00805C45" w:rsidRDefault="00805C45" w:rsidP="00561D86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ptos Display" w:eastAsia="Times New Roman" w:hAnsi="Aptos Display" w:cs="Times New Roman"/>
          <w:color w:val="0F4761"/>
          <w:sz w:val="40"/>
          <w:szCs w:val="40"/>
        </w:rPr>
      </w:pPr>
      <w:r w:rsidRPr="00805C45">
        <w:rPr>
          <w:rFonts w:ascii="Aptos Display" w:eastAsia="Times New Roman" w:hAnsi="Aptos Display" w:cs="Times New Roman"/>
          <w:color w:val="0F4761"/>
          <w:sz w:val="40"/>
          <w:szCs w:val="40"/>
        </w:rPr>
        <w:lastRenderedPageBreak/>
        <w:t xml:space="preserve">Discussion </w:t>
      </w:r>
    </w:p>
    <w:p w14:paraId="7FDB598C" w14:textId="333671D3" w:rsidR="00020A04" w:rsidRDefault="00BE6201" w:rsidP="00561D86">
      <w:pPr>
        <w:jc w:val="both"/>
        <w:rPr>
          <w:rFonts w:ascii="Aptos" w:eastAsia="Aptos" w:hAnsi="Aptos" w:cs="Times New Roman"/>
          <w:lang w:val="en-GB" w:eastAsia="zh-CN"/>
        </w:rPr>
      </w:pPr>
      <w:r>
        <w:t>To</w:t>
      </w:r>
      <w:r w:rsidR="00F414C3">
        <w:t xml:space="preserve"> </w:t>
      </w:r>
      <w:r w:rsidR="00911A58">
        <w:t>facilitate initial discussion, this contribution</w:t>
      </w:r>
      <w:r w:rsidR="00162EDD">
        <w:t xml:space="preserve"> provides </w:t>
      </w:r>
      <w:r w:rsidR="00E75B8C">
        <w:t xml:space="preserve">inputs </w:t>
      </w:r>
      <w:r w:rsidR="00724145">
        <w:t xml:space="preserve">for the study phase </w:t>
      </w:r>
      <w:r w:rsidR="00B027CC">
        <w:rPr>
          <w:rFonts w:ascii="Aptos" w:eastAsia="Aptos" w:hAnsi="Aptos" w:cs="Times New Roman"/>
          <w:lang w:val="en-GB" w:eastAsia="zh-CN"/>
        </w:rPr>
        <w:t xml:space="preserve">based on the FCC filings </w:t>
      </w:r>
      <w:r w:rsidR="00E349A3">
        <w:rPr>
          <w:rFonts w:ascii="Aptos" w:eastAsia="Aptos" w:hAnsi="Aptos" w:cs="Times New Roman"/>
          <w:lang w:val="en-GB" w:eastAsia="zh-CN"/>
        </w:rPr>
        <w:t>and</w:t>
      </w:r>
      <w:r w:rsidR="00B027CC">
        <w:rPr>
          <w:rFonts w:ascii="Aptos" w:eastAsia="Aptos" w:hAnsi="Aptos" w:cs="Times New Roman"/>
          <w:lang w:val="en-GB" w:eastAsia="zh-CN"/>
        </w:rPr>
        <w:t xml:space="preserve"> announcements </w:t>
      </w:r>
      <w:r w:rsidR="00BE6B79" w:rsidRPr="005E5148">
        <w:rPr>
          <w:rFonts w:ascii="Aptos" w:eastAsia="Aptos" w:hAnsi="Aptos" w:cs="Times New Roman"/>
          <w:lang w:val="en-GB" w:eastAsia="zh-CN"/>
        </w:rPr>
        <w:t>[2]</w:t>
      </w:r>
      <w:r w:rsidR="00B027CC" w:rsidRPr="001E2B5C">
        <w:rPr>
          <w:rFonts w:ascii="Aptos" w:eastAsia="Aptos" w:hAnsi="Aptos" w:cs="Times New Roman"/>
          <w:lang w:val="en-GB" w:eastAsia="zh-CN"/>
        </w:rPr>
        <w:t xml:space="preserve">, </w:t>
      </w:r>
      <w:r w:rsidR="00B027CC">
        <w:rPr>
          <w:rFonts w:ascii="Aptos" w:eastAsia="Aptos" w:hAnsi="Aptos" w:cs="Times New Roman"/>
          <w:lang w:val="en-GB" w:eastAsia="zh-CN"/>
        </w:rPr>
        <w:t xml:space="preserve">and data from the incumbents that </w:t>
      </w:r>
      <w:proofErr w:type="gramStart"/>
      <w:r w:rsidR="00B027CC">
        <w:rPr>
          <w:rFonts w:ascii="Aptos" w:eastAsia="Aptos" w:hAnsi="Aptos" w:cs="Times New Roman"/>
          <w:lang w:val="en-GB" w:eastAsia="zh-CN"/>
        </w:rPr>
        <w:t>has</w:t>
      </w:r>
      <w:proofErr w:type="gramEnd"/>
      <w:r w:rsidR="00B027CC">
        <w:rPr>
          <w:rFonts w:ascii="Aptos" w:eastAsia="Aptos" w:hAnsi="Aptos" w:cs="Times New Roman"/>
          <w:lang w:val="en-GB" w:eastAsia="zh-CN"/>
        </w:rPr>
        <w:t xml:space="preserve"> been submitted to the FCC [</w:t>
      </w:r>
      <w:r w:rsidR="003E5E92">
        <w:rPr>
          <w:rFonts w:ascii="Aptos" w:eastAsia="Aptos" w:hAnsi="Aptos" w:cs="Times New Roman"/>
          <w:lang w:val="en-GB" w:eastAsia="zh-CN"/>
        </w:rPr>
        <w:t>3</w:t>
      </w:r>
      <w:r w:rsidR="00B027CC">
        <w:rPr>
          <w:rFonts w:ascii="Aptos" w:eastAsia="Aptos" w:hAnsi="Aptos" w:cs="Times New Roman"/>
          <w:lang w:val="en-GB" w:eastAsia="zh-CN"/>
        </w:rPr>
        <w:t xml:space="preserve">].  </w:t>
      </w:r>
    </w:p>
    <w:p w14:paraId="4342FD47" w14:textId="23A91F79" w:rsidR="006838C1" w:rsidRDefault="00F60BB2" w:rsidP="00561D86">
      <w:pPr>
        <w:jc w:val="both"/>
        <w:rPr>
          <w:rFonts w:ascii="Arial" w:hAnsi="Arial" w:cs="Arial"/>
        </w:rPr>
      </w:pPr>
      <w:r>
        <w:t xml:space="preserve">As </w:t>
      </w:r>
      <w:r w:rsidR="00C071C4">
        <w:t xml:space="preserve">discussed in the </w:t>
      </w:r>
      <w:r w:rsidR="002A7E84" w:rsidRPr="00936D26">
        <w:rPr>
          <w:rFonts w:ascii="Arial" w:hAnsi="Arial" w:cs="Arial"/>
        </w:rPr>
        <w:t>FCC’s Seventh Report and Order and Ninth Further Notice of Proposed Rulemaking</w:t>
      </w:r>
      <w:r w:rsidR="002A7E84">
        <w:rPr>
          <w:rFonts w:ascii="Arial" w:hAnsi="Arial" w:cs="Arial"/>
        </w:rPr>
        <w:t xml:space="preserve"> [</w:t>
      </w:r>
      <w:r w:rsidR="003E5E92">
        <w:rPr>
          <w:rFonts w:ascii="Arial" w:hAnsi="Arial" w:cs="Arial"/>
        </w:rPr>
        <w:t>2</w:t>
      </w:r>
      <w:r w:rsidR="002A7E84">
        <w:rPr>
          <w:rFonts w:ascii="Arial" w:hAnsi="Arial" w:cs="Arial"/>
        </w:rPr>
        <w:t>]</w:t>
      </w:r>
      <w:r w:rsidR="008A51F9">
        <w:rPr>
          <w:rFonts w:ascii="Arial" w:hAnsi="Arial" w:cs="Arial"/>
        </w:rPr>
        <w:t>,</w:t>
      </w:r>
      <w:r w:rsidR="002A7E84">
        <w:rPr>
          <w:rFonts w:ascii="Arial" w:hAnsi="Arial" w:cs="Arial"/>
        </w:rPr>
        <w:t xml:space="preserve"> there are </w:t>
      </w:r>
      <w:r w:rsidR="00214612">
        <w:rPr>
          <w:rFonts w:ascii="Arial" w:hAnsi="Arial" w:cs="Arial"/>
        </w:rPr>
        <w:t xml:space="preserve">already </w:t>
      </w:r>
      <w:r w:rsidR="002A7E84">
        <w:rPr>
          <w:rFonts w:ascii="Arial" w:hAnsi="Arial" w:cs="Arial"/>
        </w:rPr>
        <w:t xml:space="preserve">updates to </w:t>
      </w:r>
      <w:r w:rsidR="00B53554">
        <w:rPr>
          <w:rFonts w:ascii="Arial" w:hAnsi="Arial" w:cs="Arial"/>
        </w:rPr>
        <w:t>47 CFR Part 90 [</w:t>
      </w:r>
      <w:r w:rsidR="003E5E92">
        <w:rPr>
          <w:rFonts w:ascii="Arial" w:hAnsi="Arial" w:cs="Arial"/>
        </w:rPr>
        <w:t>4</w:t>
      </w:r>
      <w:r w:rsidR="00B53554">
        <w:rPr>
          <w:rFonts w:ascii="Arial" w:hAnsi="Arial" w:cs="Arial"/>
        </w:rPr>
        <w:t xml:space="preserve">] to include </w:t>
      </w:r>
      <w:r w:rsidR="003F7475">
        <w:rPr>
          <w:rFonts w:ascii="Arial" w:hAnsi="Arial" w:cs="Arial"/>
        </w:rPr>
        <w:t>spectrum emission masks</w:t>
      </w:r>
      <w:r w:rsidR="002576CF">
        <w:rPr>
          <w:rFonts w:ascii="Arial" w:hAnsi="Arial" w:cs="Arial"/>
        </w:rPr>
        <w:t xml:space="preserve"> in part </w:t>
      </w:r>
      <w:r w:rsidR="00163C6C">
        <w:rPr>
          <w:rFonts w:ascii="Arial" w:hAnsi="Arial" w:cs="Arial"/>
        </w:rPr>
        <w:t xml:space="preserve">1 </w:t>
      </w:r>
      <w:r w:rsidR="00CB36BE" w:rsidRPr="005E5148">
        <w:rPr>
          <w:rFonts w:ascii="Arial" w:hAnsi="Arial" w:cs="Arial"/>
        </w:rPr>
        <w:t>§</w:t>
      </w:r>
      <w:r w:rsidR="00163C6C">
        <w:rPr>
          <w:rFonts w:ascii="Arial" w:hAnsi="Arial" w:cs="Arial"/>
        </w:rPr>
        <w:t>90.210</w:t>
      </w:r>
      <w:r w:rsidR="00CB36BE">
        <w:rPr>
          <w:rFonts w:ascii="Arial" w:hAnsi="Arial" w:cs="Arial"/>
        </w:rPr>
        <w:t xml:space="preserve">.  Emission Mask L defines the </w:t>
      </w:r>
      <w:r w:rsidR="00635866">
        <w:rPr>
          <w:rFonts w:ascii="Arial" w:hAnsi="Arial" w:cs="Arial"/>
        </w:rPr>
        <w:t xml:space="preserve">emission </w:t>
      </w:r>
      <w:r w:rsidR="00CB36BE">
        <w:rPr>
          <w:rFonts w:ascii="Arial" w:hAnsi="Arial" w:cs="Arial"/>
        </w:rPr>
        <w:t xml:space="preserve">requirements for low power (20dBm or less) </w:t>
      </w:r>
      <w:r w:rsidR="00A13E79">
        <w:rPr>
          <w:rFonts w:ascii="Arial" w:hAnsi="Arial" w:cs="Arial"/>
        </w:rPr>
        <w:t xml:space="preserve">transmitter </w:t>
      </w:r>
      <w:r w:rsidR="00CB36BE">
        <w:rPr>
          <w:rFonts w:ascii="Arial" w:hAnsi="Arial" w:cs="Arial"/>
        </w:rPr>
        <w:t xml:space="preserve">and </w:t>
      </w:r>
      <w:r w:rsidR="00DC4E33">
        <w:rPr>
          <w:rFonts w:ascii="Arial" w:hAnsi="Arial" w:cs="Arial"/>
        </w:rPr>
        <w:t>Emission Mask M for high power (&gt; 20dBm)</w:t>
      </w:r>
      <w:r w:rsidR="008910DE">
        <w:rPr>
          <w:rFonts w:ascii="Arial" w:hAnsi="Arial" w:cs="Arial"/>
        </w:rPr>
        <w:t xml:space="preserve"> </w:t>
      </w:r>
      <w:r w:rsidR="00A13E79">
        <w:rPr>
          <w:rFonts w:ascii="Arial" w:hAnsi="Arial" w:cs="Arial"/>
        </w:rPr>
        <w:t>transmitter</w:t>
      </w:r>
      <w:r w:rsidR="00DC4E33">
        <w:rPr>
          <w:rFonts w:ascii="Arial" w:hAnsi="Arial" w:cs="Arial"/>
        </w:rPr>
        <w:t>.</w:t>
      </w:r>
      <w:r w:rsidR="001B564E">
        <w:rPr>
          <w:rFonts w:ascii="Arial" w:hAnsi="Arial" w:cs="Arial"/>
        </w:rPr>
        <w:t xml:space="preserve">  </w:t>
      </w:r>
      <w:bookmarkStart w:id="1" w:name="_Hlk204000758"/>
      <w:r w:rsidR="009E40FD" w:rsidRPr="009E40FD">
        <w:rPr>
          <w:rFonts w:ascii="Arial" w:hAnsi="Arial" w:cs="Arial"/>
        </w:rPr>
        <w:t xml:space="preserve">For the new band </w:t>
      </w:r>
      <w:r w:rsidR="009E40FD">
        <w:rPr>
          <w:rFonts w:ascii="Arial" w:hAnsi="Arial" w:cs="Arial"/>
        </w:rPr>
        <w:t xml:space="preserve">in this WI, </w:t>
      </w:r>
      <w:r w:rsidR="009E40FD" w:rsidRPr="009E40FD">
        <w:rPr>
          <w:rFonts w:ascii="Arial" w:hAnsi="Arial" w:cs="Arial"/>
        </w:rPr>
        <w:t xml:space="preserve">3GPP should </w:t>
      </w:r>
      <w:r w:rsidR="00A5506B">
        <w:rPr>
          <w:rFonts w:ascii="Arial" w:hAnsi="Arial" w:cs="Arial"/>
        </w:rPr>
        <w:t>define</w:t>
      </w:r>
      <w:r w:rsidR="00A75148">
        <w:rPr>
          <w:rFonts w:ascii="Arial" w:hAnsi="Arial" w:cs="Arial"/>
        </w:rPr>
        <w:t xml:space="preserve"> emission requirements</w:t>
      </w:r>
      <w:r w:rsidR="00A5506B">
        <w:rPr>
          <w:rFonts w:ascii="Arial" w:hAnsi="Arial" w:cs="Arial"/>
        </w:rPr>
        <w:t xml:space="preserve"> </w:t>
      </w:r>
      <w:r w:rsidR="005E4CC0">
        <w:rPr>
          <w:rFonts w:ascii="Arial" w:hAnsi="Arial" w:cs="Arial"/>
        </w:rPr>
        <w:t>which satisfy</w:t>
      </w:r>
      <w:r w:rsidR="00917752">
        <w:rPr>
          <w:rFonts w:ascii="Arial" w:hAnsi="Arial" w:cs="Arial"/>
        </w:rPr>
        <w:t xml:space="preserve"> </w:t>
      </w:r>
      <w:r w:rsidR="00575C75">
        <w:rPr>
          <w:rFonts w:ascii="Arial" w:hAnsi="Arial" w:cs="Arial"/>
        </w:rPr>
        <w:t xml:space="preserve">these </w:t>
      </w:r>
      <w:r w:rsidR="009E40FD" w:rsidRPr="009E40FD">
        <w:rPr>
          <w:rFonts w:ascii="Arial" w:hAnsi="Arial" w:cs="Arial"/>
        </w:rPr>
        <w:t xml:space="preserve">Emission Masks </w:t>
      </w:r>
      <w:r w:rsidR="00B30D1A">
        <w:rPr>
          <w:rFonts w:ascii="Arial" w:hAnsi="Arial" w:cs="Arial"/>
        </w:rPr>
        <w:t>L and</w:t>
      </w:r>
      <w:r w:rsidR="00D328B0">
        <w:rPr>
          <w:rFonts w:ascii="Arial" w:hAnsi="Arial" w:cs="Arial"/>
        </w:rPr>
        <w:t xml:space="preserve"> </w:t>
      </w:r>
      <w:r w:rsidR="009E40FD" w:rsidRPr="009E40FD">
        <w:rPr>
          <w:rFonts w:ascii="Arial" w:hAnsi="Arial" w:cs="Arial"/>
        </w:rPr>
        <w:t>M as defined in §90.210 of 47 CFR 90 [4]</w:t>
      </w:r>
      <w:r w:rsidR="00C0726A">
        <w:rPr>
          <w:rFonts w:ascii="Arial" w:hAnsi="Arial" w:cs="Arial"/>
        </w:rPr>
        <w:t>.</w:t>
      </w:r>
      <w:bookmarkEnd w:id="1"/>
      <w:r w:rsidR="006B670C">
        <w:rPr>
          <w:rFonts w:ascii="Arial" w:hAnsi="Arial" w:cs="Arial"/>
        </w:rPr>
        <w:t xml:space="preserve"> </w:t>
      </w:r>
      <w:r w:rsidR="00A91C13">
        <w:rPr>
          <w:rFonts w:ascii="Arial" w:hAnsi="Arial" w:cs="Arial"/>
        </w:rPr>
        <w:t xml:space="preserve">It </w:t>
      </w:r>
      <w:r w:rsidR="00653F5A">
        <w:rPr>
          <w:rFonts w:ascii="Arial" w:hAnsi="Arial" w:cs="Arial"/>
        </w:rPr>
        <w:t>was</w:t>
      </w:r>
      <w:r w:rsidR="00A91C13">
        <w:rPr>
          <w:rFonts w:ascii="Arial" w:hAnsi="Arial" w:cs="Arial"/>
        </w:rPr>
        <w:t xml:space="preserve"> also concluded in [2] that </w:t>
      </w:r>
      <w:r w:rsidR="00A91C13" w:rsidRPr="00A91C13">
        <w:rPr>
          <w:rFonts w:ascii="Arial" w:hAnsi="Arial" w:cs="Arial"/>
        </w:rPr>
        <w:t>emission mask M is sufficient</w:t>
      </w:r>
      <w:r w:rsidR="0095738D">
        <w:rPr>
          <w:rFonts w:ascii="Arial" w:hAnsi="Arial" w:cs="Arial"/>
        </w:rPr>
        <w:t xml:space="preserve"> </w:t>
      </w:r>
      <w:r w:rsidR="00C33CE9">
        <w:rPr>
          <w:rFonts w:ascii="Arial" w:hAnsi="Arial" w:cs="Arial"/>
        </w:rPr>
        <w:t xml:space="preserve">for high power transmitter and </w:t>
      </w:r>
      <w:r w:rsidR="00DE5995">
        <w:rPr>
          <w:rFonts w:ascii="Arial" w:hAnsi="Arial" w:cs="Arial"/>
        </w:rPr>
        <w:t>no</w:t>
      </w:r>
      <w:r w:rsidR="00A91C13" w:rsidRPr="00A91C13">
        <w:rPr>
          <w:rFonts w:ascii="Arial" w:hAnsi="Arial" w:cs="Arial"/>
        </w:rPr>
        <w:t xml:space="preserve"> tighter emission mask </w:t>
      </w:r>
      <w:r w:rsidR="00E170CA">
        <w:rPr>
          <w:rFonts w:ascii="Arial" w:hAnsi="Arial" w:cs="Arial"/>
        </w:rPr>
        <w:t>is needed</w:t>
      </w:r>
      <w:r w:rsidR="00A91C13" w:rsidRPr="00A91C13">
        <w:rPr>
          <w:rFonts w:ascii="Arial" w:hAnsi="Arial" w:cs="Arial"/>
        </w:rPr>
        <w:t xml:space="preserve"> for high power operations</w:t>
      </w:r>
      <w:r w:rsidR="009A2190">
        <w:rPr>
          <w:rFonts w:ascii="Arial" w:hAnsi="Arial" w:cs="Arial"/>
        </w:rPr>
        <w:t xml:space="preserve"> in </w:t>
      </w:r>
      <w:r w:rsidR="009A2190" w:rsidRPr="009A2190">
        <w:rPr>
          <w:rFonts w:ascii="Arial" w:hAnsi="Arial" w:cs="Arial"/>
        </w:rPr>
        <w:t>4940-4990 MHz band</w:t>
      </w:r>
      <w:r w:rsidR="00C33CE9">
        <w:rPr>
          <w:rFonts w:ascii="Arial" w:hAnsi="Arial" w:cs="Arial"/>
        </w:rPr>
        <w:t>.</w:t>
      </w:r>
    </w:p>
    <w:p w14:paraId="09B88943" w14:textId="77777777" w:rsidR="00017209" w:rsidRDefault="00017209" w:rsidP="00561D86">
      <w:pPr>
        <w:jc w:val="both"/>
        <w:rPr>
          <w:rFonts w:ascii="Arial" w:hAnsi="Arial" w:cs="Arial"/>
        </w:rPr>
      </w:pPr>
    </w:p>
    <w:p w14:paraId="038B3A37" w14:textId="2470855E" w:rsidR="007C06AF" w:rsidRPr="005E5148" w:rsidRDefault="007C06AF" w:rsidP="00561D86">
      <w:pPr>
        <w:jc w:val="both"/>
        <w:rPr>
          <w:rFonts w:ascii="Arial" w:hAnsi="Arial" w:cs="Arial"/>
          <w:b/>
          <w:bCs/>
        </w:rPr>
      </w:pPr>
      <w:bookmarkStart w:id="2" w:name="_Hlk206023462"/>
      <w:r w:rsidRPr="00B027CC">
        <w:rPr>
          <w:b/>
          <w:bCs/>
        </w:rPr>
        <w:t>Observation 1</w:t>
      </w:r>
      <w:r>
        <w:t xml:space="preserve">: </w:t>
      </w:r>
      <w:r w:rsidR="0037540E" w:rsidRPr="005E5148">
        <w:rPr>
          <w:rFonts w:ascii="Arial" w:hAnsi="Arial" w:cs="Arial"/>
          <w:b/>
          <w:bCs/>
        </w:rPr>
        <w:t xml:space="preserve">The </w:t>
      </w:r>
      <w:r w:rsidR="00055BC3" w:rsidRPr="005E5148">
        <w:rPr>
          <w:rFonts w:ascii="Arial" w:hAnsi="Arial" w:cs="Arial"/>
          <w:b/>
          <w:bCs/>
        </w:rPr>
        <w:t>existing</w:t>
      </w:r>
      <w:r w:rsidR="000E168A" w:rsidRPr="005E5148">
        <w:rPr>
          <w:rFonts w:ascii="Arial" w:hAnsi="Arial" w:cs="Arial"/>
          <w:b/>
          <w:bCs/>
        </w:rPr>
        <w:t xml:space="preserve"> Emission Mask</w:t>
      </w:r>
      <w:r w:rsidR="00C87DDB">
        <w:rPr>
          <w:rFonts w:ascii="Arial" w:hAnsi="Arial" w:cs="Arial"/>
          <w:b/>
          <w:bCs/>
        </w:rPr>
        <w:t xml:space="preserve">s </w:t>
      </w:r>
      <w:r w:rsidR="000E168A" w:rsidRPr="005E5148">
        <w:rPr>
          <w:rFonts w:ascii="Arial" w:hAnsi="Arial" w:cs="Arial"/>
          <w:b/>
          <w:bCs/>
        </w:rPr>
        <w:t xml:space="preserve">defined in §90.210 of 47 CFR 90 [4] </w:t>
      </w:r>
      <w:r w:rsidR="00C0417F">
        <w:rPr>
          <w:rFonts w:ascii="Arial" w:hAnsi="Arial" w:cs="Arial"/>
          <w:b/>
          <w:bCs/>
        </w:rPr>
        <w:t>are sufficient</w:t>
      </w:r>
      <w:r w:rsidR="00F04D98">
        <w:rPr>
          <w:rFonts w:ascii="Arial" w:hAnsi="Arial" w:cs="Arial"/>
          <w:b/>
          <w:bCs/>
        </w:rPr>
        <w:t xml:space="preserve"> </w:t>
      </w:r>
      <w:r w:rsidR="00DC7122" w:rsidRPr="005E5148">
        <w:rPr>
          <w:rFonts w:ascii="Arial" w:hAnsi="Arial" w:cs="Arial"/>
          <w:b/>
          <w:bCs/>
        </w:rPr>
        <w:t xml:space="preserve">for </w:t>
      </w:r>
      <w:r w:rsidR="00C87DDB">
        <w:rPr>
          <w:rFonts w:ascii="Arial" w:hAnsi="Arial" w:cs="Arial"/>
          <w:b/>
          <w:bCs/>
        </w:rPr>
        <w:t xml:space="preserve">defining emission requirements for </w:t>
      </w:r>
      <w:r w:rsidR="00DC7122" w:rsidRPr="005E5148">
        <w:rPr>
          <w:rFonts w:ascii="Arial" w:hAnsi="Arial" w:cs="Arial"/>
          <w:b/>
          <w:bCs/>
        </w:rPr>
        <w:t xml:space="preserve">the </w:t>
      </w:r>
      <w:r w:rsidR="000953E7">
        <w:rPr>
          <w:rFonts w:ascii="Arial" w:hAnsi="Arial" w:cs="Arial"/>
          <w:b/>
          <w:bCs/>
        </w:rPr>
        <w:t xml:space="preserve">new </w:t>
      </w:r>
      <w:r w:rsidR="00E22124" w:rsidRPr="005E5148">
        <w:rPr>
          <w:rFonts w:ascii="Arial" w:hAnsi="Arial" w:cs="Arial"/>
          <w:b/>
          <w:bCs/>
        </w:rPr>
        <w:t>NR TDD 4940-4990 MHz band</w:t>
      </w:r>
      <w:r w:rsidR="000E168A" w:rsidRPr="005E5148">
        <w:rPr>
          <w:rFonts w:ascii="Arial" w:hAnsi="Arial" w:cs="Arial"/>
          <w:b/>
          <w:bCs/>
        </w:rPr>
        <w:t>.</w:t>
      </w:r>
    </w:p>
    <w:bookmarkEnd w:id="2"/>
    <w:p w14:paraId="61403CE7" w14:textId="64A3A789" w:rsidR="003D2D12" w:rsidRDefault="003D2D12" w:rsidP="00561D86">
      <w:pPr>
        <w:ind w:left="432"/>
        <w:jc w:val="both"/>
      </w:pPr>
    </w:p>
    <w:p w14:paraId="3FE6FCE6" w14:textId="4DDCB2F3" w:rsidR="004B380A" w:rsidRDefault="003D2D12" w:rsidP="00561D86">
      <w:pPr>
        <w:jc w:val="both"/>
      </w:pPr>
      <w:r w:rsidRPr="003D2D12">
        <w:t>Incumbent licensees have provided their granular data outlining their detailed use of the 4940-4990 MHz band to the FCC, ending the FCC’s data Collection effort on July 9, 2025</w:t>
      </w:r>
      <w:r w:rsidR="00785A42">
        <w:t xml:space="preserve"> [3]</w:t>
      </w:r>
      <w:r w:rsidRPr="003D2D12">
        <w:t xml:space="preserve">.    </w:t>
      </w:r>
      <w:r w:rsidR="00785A42">
        <w:t>I</w:t>
      </w:r>
      <w:r w:rsidR="00785A42" w:rsidRPr="00DE40E0">
        <w:t>ncumbent use of the 4940-4990</w:t>
      </w:r>
      <w:r w:rsidR="00785A42">
        <w:t xml:space="preserve"> </w:t>
      </w:r>
      <w:r w:rsidR="00785A42" w:rsidRPr="00DE40E0">
        <w:t>MHz band can be in 1,2,3,5,10,15 and 20 MHz channel bandwidths</w:t>
      </w:r>
      <w:r w:rsidR="00785A42">
        <w:t xml:space="preserve">.  </w:t>
      </w:r>
      <w:r w:rsidR="001E3F9C">
        <w:t>Incumbent d</w:t>
      </w:r>
      <w:r w:rsidR="00936D26">
        <w:t>ata collection [</w:t>
      </w:r>
      <w:r w:rsidR="003E5E92">
        <w:t>3</w:t>
      </w:r>
      <w:r w:rsidR="00936D26">
        <w:t>] show</w:t>
      </w:r>
      <w:r w:rsidR="001E3F9C">
        <w:t>s</w:t>
      </w:r>
      <w:r w:rsidR="00936D26">
        <w:t xml:space="preserve"> 95% of the incumbent users in the band operate OFDM-type of </w:t>
      </w:r>
      <w:r w:rsidR="00936D26" w:rsidRPr="00936D26">
        <w:t>Fixed Point to Point and Point to MultiPoint services</w:t>
      </w:r>
      <w:r w:rsidR="00936D26">
        <w:t xml:space="preserve"> </w:t>
      </w:r>
      <w:r w:rsidR="00A242AA">
        <w:t xml:space="preserve">while </w:t>
      </w:r>
      <w:r w:rsidR="00B179D7">
        <w:t xml:space="preserve">the </w:t>
      </w:r>
      <w:r w:rsidR="00936D26">
        <w:t xml:space="preserve">remaining </w:t>
      </w:r>
      <w:r w:rsidR="00A242AA">
        <w:t xml:space="preserve">operate </w:t>
      </w:r>
      <w:r w:rsidR="00936D26">
        <w:t xml:space="preserve">as Base/Mobile or Mobile to Mobile systems.  </w:t>
      </w:r>
    </w:p>
    <w:p w14:paraId="0B345A80" w14:textId="77777777" w:rsidR="00017209" w:rsidRDefault="00017209" w:rsidP="00561D86">
      <w:pPr>
        <w:jc w:val="both"/>
      </w:pPr>
    </w:p>
    <w:p w14:paraId="49D85CF1" w14:textId="32DD5741" w:rsidR="00C234F6" w:rsidRDefault="00C234F6" w:rsidP="00561D86">
      <w:pPr>
        <w:jc w:val="both"/>
        <w:rPr>
          <w:b/>
          <w:bCs/>
        </w:rPr>
      </w:pPr>
      <w:bookmarkStart w:id="3" w:name="_Hlk204005529"/>
      <w:r w:rsidRPr="005E5148">
        <w:rPr>
          <w:b/>
          <w:bCs/>
        </w:rPr>
        <w:t>Observation 2</w:t>
      </w:r>
      <w:r>
        <w:rPr>
          <w:b/>
          <w:bCs/>
        </w:rPr>
        <w:t xml:space="preserve">: </w:t>
      </w:r>
      <w:r w:rsidRPr="004E44ED">
        <w:rPr>
          <w:b/>
          <w:bCs/>
        </w:rPr>
        <w:t>Incumbent licensees have provided their granular data outlining their detailed use of the 4940-4990 MHz band to the FCC</w:t>
      </w:r>
      <w:r w:rsidR="00CF5F24" w:rsidRPr="004E44ED">
        <w:rPr>
          <w:b/>
          <w:bCs/>
        </w:rPr>
        <w:t xml:space="preserve"> providing sufficient technical information about the incumbent users</w:t>
      </w:r>
      <w:r w:rsidR="00EF316F" w:rsidRPr="004E44ED">
        <w:rPr>
          <w:b/>
          <w:bCs/>
        </w:rPr>
        <w:t xml:space="preserve"> to </w:t>
      </w:r>
      <w:r w:rsidR="00055F5F" w:rsidRPr="004E44ED">
        <w:rPr>
          <w:b/>
          <w:bCs/>
        </w:rPr>
        <w:t>proceed</w:t>
      </w:r>
      <w:r w:rsidR="00EF316F" w:rsidRPr="004E44ED">
        <w:rPr>
          <w:b/>
          <w:bCs/>
        </w:rPr>
        <w:t xml:space="preserve"> defining </w:t>
      </w:r>
      <w:r w:rsidR="004F4DCA" w:rsidRPr="004E44ED">
        <w:rPr>
          <w:b/>
          <w:bCs/>
        </w:rPr>
        <w:t>the new NR TDD 4940-4990 MHz band</w:t>
      </w:r>
      <w:r w:rsidR="00EF316F" w:rsidRPr="004E44ED">
        <w:rPr>
          <w:b/>
          <w:bCs/>
        </w:rPr>
        <w:t>.</w:t>
      </w:r>
      <w:bookmarkEnd w:id="3"/>
    </w:p>
    <w:p w14:paraId="4C24BA68" w14:textId="77777777" w:rsidR="00017209" w:rsidRPr="005E5148" w:rsidRDefault="00017209" w:rsidP="00561D86">
      <w:pPr>
        <w:jc w:val="both"/>
        <w:rPr>
          <w:b/>
          <w:bCs/>
        </w:rPr>
      </w:pPr>
    </w:p>
    <w:p w14:paraId="5313C667" w14:textId="3DE1C860" w:rsidR="00936D26" w:rsidRDefault="00936D26" w:rsidP="00561D86">
      <w:pPr>
        <w:jc w:val="both"/>
      </w:pPr>
      <w:r>
        <w:t xml:space="preserve">The FCC has </w:t>
      </w:r>
      <w:r w:rsidR="004B380A">
        <w:t xml:space="preserve">also </w:t>
      </w:r>
      <w:r>
        <w:t xml:space="preserve">identified there will be a Band Manager that will be responsible for protecting the incumbents.  The methodology used by the Band Manager is not being specified by the </w:t>
      </w:r>
      <w:r w:rsidR="00ED46C3">
        <w:t>FCC,</w:t>
      </w:r>
      <w:r>
        <w:t xml:space="preserve"> it is expected to consist of several different technics that are regularly </w:t>
      </w:r>
      <w:r>
        <w:lastRenderedPageBreak/>
        <w:t>used when protecting existing incumbents</w:t>
      </w:r>
      <w:r w:rsidR="00FC59A4">
        <w:t xml:space="preserve"> [2][5]</w:t>
      </w:r>
      <w:r>
        <w:t xml:space="preserve">.  </w:t>
      </w:r>
      <w:r w:rsidR="00B836B6" w:rsidRPr="00F63FDE">
        <w:t>Sufficient technical information about the incumbent users is available now</w:t>
      </w:r>
      <w:r w:rsidR="00B836B6">
        <w:t xml:space="preserve"> for this purpose. </w:t>
      </w:r>
      <w:r>
        <w:t xml:space="preserve">These </w:t>
      </w:r>
      <w:r w:rsidR="00F25B80">
        <w:t xml:space="preserve">methodologies </w:t>
      </w:r>
      <w:r>
        <w:t xml:space="preserve">could include geographic separation, frequency division sharing and TDD synchronization, to name a few.  The FCC has clearly stated that protecting the existing incumbents is a top priority </w:t>
      </w:r>
      <w:r w:rsidR="00ED46C3">
        <w:t>for</w:t>
      </w:r>
      <w:r>
        <w:t xml:space="preserve"> the Band Manager and it will be the Band Manager’s responsibility to determine how to best meet this requirement</w:t>
      </w:r>
      <w:r w:rsidR="00457672">
        <w:t xml:space="preserve">, on a </w:t>
      </w:r>
      <w:r w:rsidR="00B179D7">
        <w:t>case-by-case</w:t>
      </w:r>
      <w:r w:rsidR="00457672">
        <w:t xml:space="preserve"> basis</w:t>
      </w:r>
      <w:r>
        <w:t>.</w:t>
      </w:r>
      <w:r w:rsidR="00F63FDE">
        <w:t xml:space="preserve"> </w:t>
      </w:r>
    </w:p>
    <w:p w14:paraId="3B5E5141" w14:textId="77777777" w:rsidR="00AC3A2F" w:rsidRDefault="00AC3A2F" w:rsidP="00561D86">
      <w:pPr>
        <w:jc w:val="both"/>
      </w:pPr>
    </w:p>
    <w:p w14:paraId="0A8D9233" w14:textId="4BBA6202" w:rsidR="00EA713E" w:rsidRDefault="00CC2DDE" w:rsidP="00402134">
      <w:pPr>
        <w:jc w:val="both"/>
      </w:pPr>
      <w:r w:rsidRPr="00AC3A2F">
        <w:rPr>
          <w:b/>
          <w:bCs/>
        </w:rPr>
        <w:t xml:space="preserve">Observation </w:t>
      </w:r>
      <w:r w:rsidR="008F15F6" w:rsidRPr="00AC3A2F">
        <w:rPr>
          <w:b/>
          <w:bCs/>
        </w:rPr>
        <w:t>3</w:t>
      </w:r>
      <w:r w:rsidR="00936D26" w:rsidRPr="005E5148">
        <w:rPr>
          <w:b/>
          <w:bCs/>
        </w:rPr>
        <w:t xml:space="preserve">: </w:t>
      </w:r>
      <w:r w:rsidR="00ED46C3" w:rsidRPr="005E5148">
        <w:rPr>
          <w:b/>
          <w:bCs/>
        </w:rPr>
        <w:t>Regardless of the technologies used</w:t>
      </w:r>
      <w:r w:rsidR="009779D3">
        <w:rPr>
          <w:b/>
          <w:bCs/>
        </w:rPr>
        <w:t>,</w:t>
      </w:r>
      <w:r w:rsidR="00ED46C3" w:rsidRPr="005E5148">
        <w:rPr>
          <w:b/>
          <w:bCs/>
        </w:rPr>
        <w:t xml:space="preserve"> the mechanism to provide coexistence protection to the incumbents is the Band Manager’s responsibility.  The Band manager will determine the best </w:t>
      </w:r>
      <w:r w:rsidR="000953E7" w:rsidRPr="000953E7">
        <w:rPr>
          <w:b/>
          <w:bCs/>
        </w:rPr>
        <w:t>solution,</w:t>
      </w:r>
      <w:r w:rsidR="00ED46C3" w:rsidRPr="005E5148">
        <w:rPr>
          <w:b/>
          <w:bCs/>
        </w:rPr>
        <w:t xml:space="preserve"> </w:t>
      </w:r>
      <w:r w:rsidR="00457672" w:rsidRPr="005E5148">
        <w:rPr>
          <w:b/>
          <w:bCs/>
        </w:rPr>
        <w:t xml:space="preserve">and the protection </w:t>
      </w:r>
      <w:r w:rsidR="00ED46C3" w:rsidRPr="005E5148">
        <w:rPr>
          <w:b/>
          <w:bCs/>
        </w:rPr>
        <w:t>needed at what level they deem necessary; this could be as granular as site-by-site analysis if needed.  The decision and guidance are outside the scope of 3GPP.</w:t>
      </w:r>
      <w:r w:rsidR="00457672" w:rsidRPr="005E5148">
        <w:rPr>
          <w:b/>
          <w:bCs/>
        </w:rPr>
        <w:t xml:space="preserve">  The Band Manager reports to the FCC</w:t>
      </w:r>
      <w:r w:rsidRPr="005E5148">
        <w:rPr>
          <w:b/>
          <w:bCs/>
        </w:rPr>
        <w:t>.</w:t>
      </w:r>
    </w:p>
    <w:p w14:paraId="72880F37" w14:textId="531C49A6" w:rsidR="00ED46C3" w:rsidRDefault="00D717B5" w:rsidP="00561D86">
      <w:pPr>
        <w:jc w:val="both"/>
        <w:rPr>
          <w:rFonts w:ascii="Arial" w:hAnsi="Arial" w:cs="Arial"/>
        </w:rPr>
      </w:pPr>
      <w:r>
        <w:t xml:space="preserve">Another </w:t>
      </w:r>
      <w:r w:rsidR="00BD7B94">
        <w:t xml:space="preserve">item to consider in the study phase of this work is regarding any </w:t>
      </w:r>
      <w:r w:rsidR="007228CA" w:rsidRPr="00805C45">
        <w:rPr>
          <w:rFonts w:ascii="Arial" w:hAnsi="Arial" w:cs="Arial"/>
        </w:rPr>
        <w:t>potential emission limits more stringent than the normal BS and UE emission masks</w:t>
      </w:r>
      <w:r w:rsidR="007228CA">
        <w:rPr>
          <w:rFonts w:ascii="Arial" w:hAnsi="Arial" w:cs="Arial"/>
        </w:rPr>
        <w:t>.  In a detailed review of the FCC Seventh Report and Order [</w:t>
      </w:r>
      <w:r w:rsidR="002E3AE9">
        <w:rPr>
          <w:rFonts w:ascii="Arial" w:hAnsi="Arial" w:cs="Arial"/>
        </w:rPr>
        <w:t>2</w:t>
      </w:r>
      <w:r w:rsidR="007228CA">
        <w:rPr>
          <w:rFonts w:ascii="Arial" w:hAnsi="Arial" w:cs="Arial"/>
        </w:rPr>
        <w:t xml:space="preserve">] there </w:t>
      </w:r>
      <w:r w:rsidR="009F46AF">
        <w:rPr>
          <w:rFonts w:ascii="Arial" w:hAnsi="Arial" w:cs="Arial"/>
        </w:rPr>
        <w:t>have</w:t>
      </w:r>
      <w:r w:rsidR="007228CA">
        <w:rPr>
          <w:rFonts w:ascii="Arial" w:hAnsi="Arial" w:cs="Arial"/>
        </w:rPr>
        <w:t xml:space="preserve"> been no </w:t>
      </w:r>
      <w:r w:rsidR="00591BD1">
        <w:rPr>
          <w:rFonts w:ascii="Arial" w:hAnsi="Arial" w:cs="Arial"/>
        </w:rPr>
        <w:t xml:space="preserve">unique or enhanced emission limits beyond what is defined </w:t>
      </w:r>
      <w:r w:rsidR="00292654">
        <w:rPr>
          <w:rFonts w:ascii="Arial" w:hAnsi="Arial" w:cs="Arial"/>
        </w:rPr>
        <w:t xml:space="preserve">in </w:t>
      </w:r>
      <w:r w:rsidR="00591BD1">
        <w:rPr>
          <w:rFonts w:ascii="Arial" w:hAnsi="Arial" w:cs="Arial"/>
        </w:rPr>
        <w:t>the Part 90 [</w:t>
      </w:r>
      <w:r w:rsidR="002E3AE9">
        <w:rPr>
          <w:rFonts w:ascii="Arial" w:hAnsi="Arial" w:cs="Arial"/>
        </w:rPr>
        <w:t>4</w:t>
      </w:r>
      <w:r w:rsidR="00591BD1">
        <w:rPr>
          <w:rFonts w:ascii="Arial" w:hAnsi="Arial" w:cs="Arial"/>
        </w:rPr>
        <w:t>]</w:t>
      </w:r>
      <w:r w:rsidR="00C24361">
        <w:rPr>
          <w:rFonts w:ascii="Arial" w:hAnsi="Arial" w:cs="Arial"/>
        </w:rPr>
        <w:t xml:space="preserve"> </w:t>
      </w:r>
      <w:r w:rsidR="00C53C1B">
        <w:rPr>
          <w:rFonts w:ascii="Arial" w:hAnsi="Arial" w:cs="Arial"/>
        </w:rPr>
        <w:t>w</w:t>
      </w:r>
      <w:r w:rsidR="00C24361">
        <w:rPr>
          <w:rFonts w:ascii="Arial" w:hAnsi="Arial" w:cs="Arial"/>
        </w:rPr>
        <w:t>hich</w:t>
      </w:r>
      <w:r w:rsidR="00C53C1B">
        <w:rPr>
          <w:rFonts w:ascii="Arial" w:hAnsi="Arial" w:cs="Arial"/>
        </w:rPr>
        <w:t xml:space="preserve"> may</w:t>
      </w:r>
      <w:r w:rsidR="00716EF1">
        <w:rPr>
          <w:rFonts w:ascii="Arial" w:hAnsi="Arial" w:cs="Arial"/>
        </w:rPr>
        <w:t xml:space="preserve"> </w:t>
      </w:r>
      <w:r w:rsidR="00C53C1B">
        <w:rPr>
          <w:rFonts w:ascii="Arial" w:hAnsi="Arial" w:cs="Arial"/>
        </w:rPr>
        <w:t xml:space="preserve">impose </w:t>
      </w:r>
      <w:r w:rsidR="00C24361" w:rsidRPr="002B79A1">
        <w:rPr>
          <w:rFonts w:ascii="Arial" w:hAnsi="Arial" w:cs="Arial"/>
        </w:rPr>
        <w:t>emission limits more stringent than the normal BS and UE emission masks</w:t>
      </w:r>
      <w:r w:rsidR="00C53C1B">
        <w:rPr>
          <w:rFonts w:ascii="Arial" w:hAnsi="Arial" w:cs="Arial"/>
        </w:rPr>
        <w:t>.</w:t>
      </w:r>
      <w:r w:rsidR="00C24361">
        <w:rPr>
          <w:rFonts w:ascii="Arial" w:hAnsi="Arial" w:cs="Arial"/>
        </w:rPr>
        <w:t xml:space="preserve"> </w:t>
      </w:r>
      <w:r w:rsidR="00716EF1">
        <w:rPr>
          <w:rFonts w:ascii="Arial" w:hAnsi="Arial" w:cs="Arial"/>
        </w:rPr>
        <w:t xml:space="preserve">Like any of the other 3GPP bands defined, if </w:t>
      </w:r>
      <w:r w:rsidR="00253ED2">
        <w:rPr>
          <w:rFonts w:ascii="Arial" w:hAnsi="Arial" w:cs="Arial"/>
        </w:rPr>
        <w:t>situation</w:t>
      </w:r>
      <w:r w:rsidR="00B179D7">
        <w:rPr>
          <w:rFonts w:ascii="Arial" w:hAnsi="Arial" w:cs="Arial"/>
        </w:rPr>
        <w:t>s</w:t>
      </w:r>
      <w:r w:rsidR="00253ED2">
        <w:rPr>
          <w:rFonts w:ascii="Arial" w:hAnsi="Arial" w:cs="Arial"/>
        </w:rPr>
        <w:t xml:space="preserve"> change</w:t>
      </w:r>
      <w:r w:rsidR="00DB59B6">
        <w:rPr>
          <w:rFonts w:ascii="Arial" w:hAnsi="Arial" w:cs="Arial"/>
        </w:rPr>
        <w:t xml:space="preserve"> </w:t>
      </w:r>
      <w:r w:rsidR="00331EDF">
        <w:rPr>
          <w:rFonts w:ascii="Arial" w:hAnsi="Arial" w:cs="Arial"/>
        </w:rPr>
        <w:t>it</w:t>
      </w:r>
      <w:r w:rsidR="00DB59B6">
        <w:rPr>
          <w:rFonts w:ascii="Arial" w:hAnsi="Arial" w:cs="Arial"/>
        </w:rPr>
        <w:t xml:space="preserve"> </w:t>
      </w:r>
      <w:r w:rsidR="00AD4125">
        <w:rPr>
          <w:rFonts w:ascii="Arial" w:hAnsi="Arial" w:cs="Arial"/>
        </w:rPr>
        <w:t>should</w:t>
      </w:r>
      <w:r w:rsidR="00DB59B6">
        <w:rPr>
          <w:rFonts w:ascii="Arial" w:hAnsi="Arial" w:cs="Arial"/>
        </w:rPr>
        <w:t xml:space="preserve"> be addressed and managed</w:t>
      </w:r>
      <w:r w:rsidR="00AD4125">
        <w:rPr>
          <w:rFonts w:ascii="Arial" w:hAnsi="Arial" w:cs="Arial"/>
        </w:rPr>
        <w:t xml:space="preserve"> later</w:t>
      </w:r>
      <w:r w:rsidR="00DB59B6">
        <w:rPr>
          <w:rFonts w:ascii="Arial" w:hAnsi="Arial" w:cs="Arial"/>
        </w:rPr>
        <w:t>.</w:t>
      </w:r>
      <w:r w:rsidR="00F5293F">
        <w:rPr>
          <w:rFonts w:ascii="Arial" w:hAnsi="Arial" w:cs="Arial"/>
        </w:rPr>
        <w:t xml:space="preserve"> </w:t>
      </w:r>
    </w:p>
    <w:p w14:paraId="31794939" w14:textId="77777777" w:rsidR="00AC3A2F" w:rsidRDefault="00AC3A2F" w:rsidP="00561D86">
      <w:pPr>
        <w:jc w:val="both"/>
      </w:pPr>
    </w:p>
    <w:p w14:paraId="0FAD35D3" w14:textId="7FDE24B5" w:rsidR="00ED46C3" w:rsidRDefault="00086EC0" w:rsidP="00561D86">
      <w:pPr>
        <w:jc w:val="both"/>
        <w:rPr>
          <w:b/>
          <w:bCs/>
        </w:rPr>
      </w:pPr>
      <w:r w:rsidRPr="00AC3A2F">
        <w:rPr>
          <w:b/>
          <w:bCs/>
        </w:rPr>
        <w:t>Observation 4</w:t>
      </w:r>
      <w:r w:rsidR="00ED46C3" w:rsidRPr="005E5148">
        <w:rPr>
          <w:b/>
          <w:bCs/>
        </w:rPr>
        <w:t xml:space="preserve">: </w:t>
      </w:r>
      <w:r w:rsidR="0090025B" w:rsidRPr="005E5148">
        <w:rPr>
          <w:b/>
          <w:bCs/>
        </w:rPr>
        <w:t xml:space="preserve"> </w:t>
      </w:r>
      <w:r w:rsidR="00087438" w:rsidRPr="005E5148">
        <w:rPr>
          <w:b/>
          <w:bCs/>
        </w:rPr>
        <w:t>There are no unique or enhanced emission limit requirements</w:t>
      </w:r>
      <w:r w:rsidR="00906AF2" w:rsidRPr="005E5148">
        <w:rPr>
          <w:b/>
          <w:bCs/>
        </w:rPr>
        <w:t xml:space="preserve"> in</w:t>
      </w:r>
      <w:r w:rsidR="0090025B" w:rsidRPr="005E5148">
        <w:rPr>
          <w:b/>
          <w:bCs/>
        </w:rPr>
        <w:t xml:space="preserve"> the </w:t>
      </w:r>
      <w:r w:rsidR="0034431C" w:rsidRPr="0034431C">
        <w:rPr>
          <w:b/>
          <w:bCs/>
        </w:rPr>
        <w:t>FCC’s Seventh Report and Order and Ninth Further Notice of Proposed Rulemaking [2]</w:t>
      </w:r>
      <w:r w:rsidR="00391260" w:rsidRPr="005E5148">
        <w:rPr>
          <w:b/>
          <w:bCs/>
        </w:rPr>
        <w:t xml:space="preserve"> which impose emission limits more stringent than the normal BS and UE emission masks. </w:t>
      </w:r>
      <w:r w:rsidR="00355B93" w:rsidRPr="005E5148">
        <w:rPr>
          <w:b/>
          <w:bCs/>
        </w:rPr>
        <w:t>Therefore</w:t>
      </w:r>
      <w:r w:rsidR="005F31DF" w:rsidRPr="005E5148">
        <w:rPr>
          <w:b/>
          <w:bCs/>
        </w:rPr>
        <w:t>,</w:t>
      </w:r>
      <w:r w:rsidR="00D0515F">
        <w:rPr>
          <w:b/>
          <w:bCs/>
        </w:rPr>
        <w:t xml:space="preserve"> </w:t>
      </w:r>
      <w:r w:rsidR="00DB59B6" w:rsidRPr="005E5148">
        <w:rPr>
          <w:b/>
          <w:bCs/>
        </w:rPr>
        <w:t>no additional work or considerations are needed.</w:t>
      </w:r>
    </w:p>
    <w:p w14:paraId="27B6B082" w14:textId="77777777" w:rsidR="00AC3A2F" w:rsidRPr="005E5148" w:rsidRDefault="00AC3A2F" w:rsidP="00561D86">
      <w:pPr>
        <w:jc w:val="both"/>
        <w:rPr>
          <w:b/>
          <w:bCs/>
        </w:rPr>
      </w:pPr>
    </w:p>
    <w:p w14:paraId="21AA792A" w14:textId="4024968C" w:rsidR="0067313B" w:rsidRDefault="0067313B" w:rsidP="00561D86">
      <w:pPr>
        <w:jc w:val="both"/>
      </w:pPr>
      <w:r w:rsidRPr="005E5148">
        <w:t xml:space="preserve">Based on the above </w:t>
      </w:r>
      <w:r w:rsidR="00324862" w:rsidRPr="005E5148">
        <w:t>observations</w:t>
      </w:r>
      <w:r w:rsidRPr="005E5148">
        <w:t>,</w:t>
      </w:r>
      <w:r w:rsidR="00B220B9" w:rsidRPr="005E5148">
        <w:t xml:space="preserve"> we have </w:t>
      </w:r>
      <w:r w:rsidR="00E544E7">
        <w:t>sufficient</w:t>
      </w:r>
      <w:r w:rsidR="00BB473C">
        <w:t xml:space="preserve"> relevant</w:t>
      </w:r>
      <w:r w:rsidR="00B220B9" w:rsidRPr="005E5148">
        <w:t xml:space="preserve"> technical information to </w:t>
      </w:r>
      <w:r w:rsidR="00806B09" w:rsidRPr="005E5148">
        <w:t>proceed with</w:t>
      </w:r>
      <w:r w:rsidR="00B220B9" w:rsidRPr="005E5148">
        <w:t xml:space="preserve"> defining </w:t>
      </w:r>
      <w:r w:rsidR="00C72B19" w:rsidRPr="005E5148">
        <w:t>the</w:t>
      </w:r>
      <w:r w:rsidR="00B220B9" w:rsidRPr="005E5148">
        <w:t xml:space="preserve"> </w:t>
      </w:r>
      <w:r w:rsidR="00C72B19" w:rsidRPr="005E5148">
        <w:t xml:space="preserve">new NR TDD 4940-4990 MHz band. </w:t>
      </w:r>
      <w:r w:rsidRPr="005E5148">
        <w:t xml:space="preserve"> </w:t>
      </w:r>
      <w:r w:rsidR="00C5557C" w:rsidRPr="00C5557C">
        <w:t>The commission also sought comment on whether emission mask M is sufficient, or whether a tighter emission mask should be imposed for high power operations. No party commented on high power emission masks, and we take no further action on the emission mask M at this time</w:t>
      </w:r>
      <w:r w:rsidR="00C5557C">
        <w:t xml:space="preserve"> [2]</w:t>
      </w:r>
      <w:r w:rsidR="00C5557C" w:rsidRPr="00C5557C">
        <w:t xml:space="preserve">. </w:t>
      </w:r>
      <w:r w:rsidR="00435D77">
        <w:t xml:space="preserve">Therefore, there </w:t>
      </w:r>
      <w:r w:rsidR="005A5C96">
        <w:t>are</w:t>
      </w:r>
      <w:r w:rsidR="00491609">
        <w:t xml:space="preserve"> no</w:t>
      </w:r>
      <w:r w:rsidR="00A533BE" w:rsidRPr="005E5148">
        <w:t xml:space="preserve"> </w:t>
      </w:r>
      <w:r w:rsidR="00423C0F">
        <w:t>additional</w:t>
      </w:r>
      <w:r w:rsidR="00A533BE" w:rsidRPr="005E5148">
        <w:t xml:space="preserve"> emission limit requirements </w:t>
      </w:r>
      <w:r w:rsidR="00491609">
        <w:t xml:space="preserve">identified by FCC </w:t>
      </w:r>
      <w:r w:rsidR="00E0447F" w:rsidRPr="005E5148">
        <w:t xml:space="preserve">for the new </w:t>
      </w:r>
      <w:r w:rsidR="00E544E7">
        <w:t>b</w:t>
      </w:r>
      <w:r w:rsidR="00E0447F" w:rsidRPr="005E5148">
        <w:t xml:space="preserve">and </w:t>
      </w:r>
      <w:r w:rsidR="00A533BE" w:rsidRPr="005E5148">
        <w:t xml:space="preserve">which impose emission limits more stringent than the normal BS and UE emission masks. </w:t>
      </w:r>
      <w:r w:rsidR="00481AE7" w:rsidRPr="00481AE7">
        <w:t xml:space="preserve">The existing Spectrum Emission Masks such as Emission Mask M defined in §90.210 of 47 CFR 90 [4] </w:t>
      </w:r>
      <w:r w:rsidR="00380CD1">
        <w:t>can</w:t>
      </w:r>
      <w:r w:rsidR="00481AE7" w:rsidRPr="00481AE7">
        <w:t xml:space="preserve"> be considered by 3GPP for </w:t>
      </w:r>
      <w:r w:rsidR="00627D8C">
        <w:t xml:space="preserve">defining emission requirements for </w:t>
      </w:r>
      <w:r w:rsidR="00481AE7" w:rsidRPr="00481AE7">
        <w:t>the NR TDD 4940-4990 MHz band.</w:t>
      </w:r>
      <w:r w:rsidR="00380CD1">
        <w:t xml:space="preserve"> </w:t>
      </w:r>
      <w:r w:rsidR="00E544E7">
        <w:t xml:space="preserve">Therefore, </w:t>
      </w:r>
      <w:r w:rsidR="00A43EFA" w:rsidRPr="005E5148">
        <w:t xml:space="preserve">RAN4 should proceed with standardization of the 4940-4990 </w:t>
      </w:r>
      <w:r w:rsidR="00A43EFA" w:rsidRPr="005E5148">
        <w:lastRenderedPageBreak/>
        <w:t>MHz band by incorporating the FCC emissions limits presented in</w:t>
      </w:r>
      <w:r w:rsidR="00E0447F" w:rsidRPr="005E5148">
        <w:t xml:space="preserve"> </w:t>
      </w:r>
      <w:r w:rsidR="000900A2" w:rsidRPr="000900A2">
        <w:t xml:space="preserve">FCC’s Seventh Report and Order and Ninth Further Notice of Proposed Rulemaking </w:t>
      </w:r>
      <w:r w:rsidR="00E0447F" w:rsidRPr="005E5148">
        <w:t>[2]</w:t>
      </w:r>
      <w:r w:rsidR="00E0447F">
        <w:t>.</w:t>
      </w:r>
    </w:p>
    <w:p w14:paraId="322E001E" w14:textId="56B052D9" w:rsidR="002215A5" w:rsidRPr="005E5148" w:rsidRDefault="002215A5" w:rsidP="00561D86">
      <w:pPr>
        <w:jc w:val="both"/>
        <w:rPr>
          <w:b/>
          <w:bCs/>
        </w:rPr>
      </w:pPr>
      <w:bookmarkStart w:id="4" w:name="_Hlk204005632"/>
      <w:r w:rsidRPr="005E5148">
        <w:rPr>
          <w:b/>
          <w:bCs/>
        </w:rPr>
        <w:t>Proposal 1:</w:t>
      </w:r>
      <w:r>
        <w:t xml:space="preserve"> </w:t>
      </w:r>
      <w:r w:rsidR="008346A5" w:rsidRPr="005E5148">
        <w:rPr>
          <w:b/>
          <w:bCs/>
        </w:rPr>
        <w:t xml:space="preserve">We have sufficient relevant technical information to proceed with defining the new NR TDD 4940-4990 MHz band. </w:t>
      </w:r>
      <w:r w:rsidR="00E04419" w:rsidRPr="005E5148">
        <w:rPr>
          <w:b/>
          <w:bCs/>
        </w:rPr>
        <w:t>RAN4 proceed</w:t>
      </w:r>
      <w:r w:rsidR="000E220F" w:rsidRPr="005E5148">
        <w:rPr>
          <w:b/>
          <w:bCs/>
        </w:rPr>
        <w:t>s</w:t>
      </w:r>
      <w:r w:rsidR="00E04419" w:rsidRPr="005E5148">
        <w:rPr>
          <w:b/>
          <w:bCs/>
        </w:rPr>
        <w:t xml:space="preserve"> with standardization of the </w:t>
      </w:r>
      <w:r w:rsidR="004B23AB" w:rsidRPr="005E5148">
        <w:rPr>
          <w:b/>
          <w:bCs/>
        </w:rPr>
        <w:t xml:space="preserve">new NR TDD </w:t>
      </w:r>
      <w:r w:rsidR="00E04419" w:rsidRPr="005E5148">
        <w:rPr>
          <w:b/>
          <w:bCs/>
        </w:rPr>
        <w:t xml:space="preserve">4940-4990 MHz band by incorporating the FCC emissions limits presented in </w:t>
      </w:r>
      <w:r w:rsidR="000E220F" w:rsidRPr="005E5148">
        <w:rPr>
          <w:b/>
          <w:bCs/>
        </w:rPr>
        <w:t>FCC’s Seventh Report and Order and Ninth Further Notice of Proposed Rulemaking</w:t>
      </w:r>
      <w:r w:rsidR="00FB0AB1" w:rsidRPr="005E5148">
        <w:rPr>
          <w:b/>
          <w:bCs/>
        </w:rPr>
        <w:t>.</w:t>
      </w:r>
    </w:p>
    <w:bookmarkEnd w:id="4"/>
    <w:p w14:paraId="31B80335" w14:textId="01F6AA6D" w:rsidR="00ED46C3" w:rsidRPr="00805C45" w:rsidRDefault="0097776D" w:rsidP="00561D86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ptos Display" w:eastAsia="Times New Roman" w:hAnsi="Aptos Display" w:cs="Times New Roman"/>
          <w:color w:val="0F4761"/>
          <w:sz w:val="40"/>
          <w:szCs w:val="40"/>
        </w:rPr>
      </w:pPr>
      <w:r>
        <w:rPr>
          <w:rFonts w:ascii="Aptos Display" w:eastAsia="Times New Roman" w:hAnsi="Aptos Display" w:cs="Times New Roman"/>
          <w:color w:val="0F4761"/>
          <w:sz w:val="40"/>
          <w:szCs w:val="40"/>
        </w:rPr>
        <w:t>Conclusion</w:t>
      </w:r>
    </w:p>
    <w:p w14:paraId="244015F1" w14:textId="62D9FEC9" w:rsidR="008D7B64" w:rsidRPr="005E5148" w:rsidRDefault="008D7B64" w:rsidP="00561D86">
      <w:pPr>
        <w:ind w:left="360"/>
        <w:jc w:val="both"/>
      </w:pPr>
      <w:r w:rsidRPr="005E5148">
        <w:t>This contribution provides</w:t>
      </w:r>
      <w:r w:rsidR="00C53C56" w:rsidRPr="005E5148">
        <w:t xml:space="preserve"> </w:t>
      </w:r>
      <w:r w:rsidR="00BC4259" w:rsidRPr="005E5148">
        <w:t>our perspective</w:t>
      </w:r>
      <w:r w:rsidR="00C53C56" w:rsidRPr="005E5148">
        <w:t xml:space="preserve"> and discussion points for </w:t>
      </w:r>
      <w:r w:rsidR="00382D1D" w:rsidRPr="005E5148">
        <w:t>coexistence issues with adjacent spectrum and other users of the 4940-4990 MHz</w:t>
      </w:r>
      <w:r w:rsidR="0062254B" w:rsidRPr="005E5148">
        <w:t xml:space="preserve"> (4.9 GHz)</w:t>
      </w:r>
      <w:r w:rsidR="00382D1D" w:rsidRPr="005E5148">
        <w:t xml:space="preserve"> band for </w:t>
      </w:r>
      <w:r w:rsidR="00C53C56" w:rsidRPr="005E5148">
        <w:t xml:space="preserve">the introduction </w:t>
      </w:r>
      <w:r w:rsidR="0062254B" w:rsidRPr="005E5148">
        <w:t>of NR TDD 4.9GHz Band for US Operation</w:t>
      </w:r>
      <w:r w:rsidR="00C53C56" w:rsidRPr="005E5148">
        <w:t xml:space="preserve">. </w:t>
      </w:r>
      <w:r w:rsidR="004F7653" w:rsidRPr="005E5148">
        <w:t xml:space="preserve">The following </w:t>
      </w:r>
      <w:r w:rsidR="00042EB1">
        <w:t>proposals</w:t>
      </w:r>
      <w:r w:rsidR="007277E6">
        <w:t xml:space="preserve"> and </w:t>
      </w:r>
      <w:r w:rsidR="00F94096">
        <w:t xml:space="preserve">observations </w:t>
      </w:r>
      <w:r w:rsidR="004F7653" w:rsidRPr="005E5148">
        <w:t>are made:</w:t>
      </w:r>
    </w:p>
    <w:p w14:paraId="4DD82489" w14:textId="240BB63C" w:rsidR="007277E6" w:rsidRDefault="007277E6" w:rsidP="00561D86">
      <w:pPr>
        <w:ind w:left="360"/>
        <w:jc w:val="both"/>
        <w:rPr>
          <w:b/>
          <w:bCs/>
        </w:rPr>
      </w:pPr>
    </w:p>
    <w:p w14:paraId="0DDF5DBF" w14:textId="7A8B8CEF" w:rsidR="00B318CA" w:rsidRPr="00882856" w:rsidRDefault="00B318CA" w:rsidP="00561D86">
      <w:pPr>
        <w:ind w:left="360"/>
        <w:jc w:val="both"/>
        <w:rPr>
          <w:b/>
          <w:bCs/>
        </w:rPr>
      </w:pPr>
      <w:r w:rsidRPr="00882856">
        <w:rPr>
          <w:b/>
          <w:bCs/>
        </w:rPr>
        <w:t>Proposal 1:</w:t>
      </w:r>
      <w:r>
        <w:t xml:space="preserve"> </w:t>
      </w:r>
      <w:r w:rsidRPr="00882856">
        <w:rPr>
          <w:b/>
          <w:bCs/>
        </w:rPr>
        <w:t>We have sufficient relevant technical information to proceed with defining the new NR TDD 4940-4990 MHz band. RAN4 proceeds with standardization of the new NR TDD 4940-4990 MHz band by incorporating the FCC emissions limits presented in FCC’s Seventh Report and Order and Ninth Further Notice of Proposed Rulemaking.</w:t>
      </w:r>
    </w:p>
    <w:p w14:paraId="204906A3" w14:textId="77777777" w:rsidR="00B318CA" w:rsidRDefault="00B318CA" w:rsidP="00561D86">
      <w:pPr>
        <w:ind w:left="360"/>
        <w:jc w:val="both"/>
        <w:rPr>
          <w:b/>
          <w:bCs/>
        </w:rPr>
      </w:pPr>
    </w:p>
    <w:p w14:paraId="1A4F507F" w14:textId="2F189135" w:rsidR="00B318CA" w:rsidRDefault="00B318CA" w:rsidP="00561D86">
      <w:pPr>
        <w:ind w:left="360"/>
        <w:jc w:val="both"/>
        <w:rPr>
          <w:b/>
          <w:bCs/>
        </w:rPr>
      </w:pPr>
      <w:r>
        <w:rPr>
          <w:b/>
          <w:bCs/>
        </w:rPr>
        <w:t>Observations:</w:t>
      </w:r>
    </w:p>
    <w:p w14:paraId="0410F301" w14:textId="739898E0" w:rsidR="008224B5" w:rsidRPr="005E5148" w:rsidRDefault="008224B5" w:rsidP="006E258A">
      <w:pPr>
        <w:ind w:left="360"/>
        <w:jc w:val="both"/>
        <w:rPr>
          <w:rFonts w:ascii="Arial" w:hAnsi="Arial" w:cs="Arial"/>
          <w:b/>
          <w:bCs/>
        </w:rPr>
      </w:pPr>
      <w:r w:rsidRPr="00B027CC">
        <w:rPr>
          <w:b/>
          <w:bCs/>
        </w:rPr>
        <w:t>Observation 1</w:t>
      </w:r>
      <w:r>
        <w:t xml:space="preserve">: </w:t>
      </w:r>
      <w:r w:rsidRPr="005E5148">
        <w:rPr>
          <w:rFonts w:ascii="Arial" w:hAnsi="Arial" w:cs="Arial"/>
          <w:b/>
          <w:bCs/>
        </w:rPr>
        <w:t>The existing Emission Mask</w:t>
      </w:r>
      <w:r>
        <w:rPr>
          <w:rFonts w:ascii="Arial" w:hAnsi="Arial" w:cs="Arial"/>
          <w:b/>
          <w:bCs/>
        </w:rPr>
        <w:t xml:space="preserve">s </w:t>
      </w:r>
      <w:r w:rsidRPr="005E5148">
        <w:rPr>
          <w:rFonts w:ascii="Arial" w:hAnsi="Arial" w:cs="Arial"/>
          <w:b/>
          <w:bCs/>
        </w:rPr>
        <w:t xml:space="preserve">defined in §90.210 of 47 CFR 90 [4] </w:t>
      </w:r>
      <w:r>
        <w:rPr>
          <w:rFonts w:ascii="Arial" w:hAnsi="Arial" w:cs="Arial"/>
          <w:b/>
          <w:bCs/>
        </w:rPr>
        <w:t>are sufficient</w:t>
      </w:r>
      <w:r w:rsidR="00F04D98">
        <w:rPr>
          <w:rFonts w:ascii="Arial" w:hAnsi="Arial" w:cs="Arial"/>
          <w:b/>
          <w:bCs/>
        </w:rPr>
        <w:t xml:space="preserve"> </w:t>
      </w:r>
      <w:r w:rsidRPr="005E5148">
        <w:rPr>
          <w:rFonts w:ascii="Arial" w:hAnsi="Arial" w:cs="Arial"/>
          <w:b/>
          <w:bCs/>
        </w:rPr>
        <w:t xml:space="preserve">for </w:t>
      </w:r>
      <w:r>
        <w:rPr>
          <w:rFonts w:ascii="Arial" w:hAnsi="Arial" w:cs="Arial"/>
          <w:b/>
          <w:bCs/>
        </w:rPr>
        <w:t xml:space="preserve">defining emission requirements for </w:t>
      </w:r>
      <w:r w:rsidRPr="005E5148">
        <w:rPr>
          <w:rFonts w:ascii="Arial" w:hAnsi="Arial" w:cs="Arial"/>
          <w:b/>
          <w:bCs/>
        </w:rPr>
        <w:t xml:space="preserve">the </w:t>
      </w:r>
      <w:r>
        <w:rPr>
          <w:rFonts w:ascii="Arial" w:hAnsi="Arial" w:cs="Arial"/>
          <w:b/>
          <w:bCs/>
        </w:rPr>
        <w:t xml:space="preserve">new </w:t>
      </w:r>
      <w:r w:rsidRPr="005E5148">
        <w:rPr>
          <w:rFonts w:ascii="Arial" w:hAnsi="Arial" w:cs="Arial"/>
          <w:b/>
          <w:bCs/>
        </w:rPr>
        <w:t>NR TDD 4940-4990 MHz band.</w:t>
      </w:r>
    </w:p>
    <w:p w14:paraId="58498B9E" w14:textId="6B6C053D" w:rsidR="007A37F7" w:rsidRDefault="007A37F7" w:rsidP="00561D86">
      <w:pPr>
        <w:ind w:left="360"/>
        <w:jc w:val="both"/>
        <w:rPr>
          <w:b/>
          <w:bCs/>
        </w:rPr>
      </w:pPr>
      <w:r w:rsidRPr="00882856">
        <w:rPr>
          <w:b/>
          <w:bCs/>
        </w:rPr>
        <w:t>Observation 2</w:t>
      </w:r>
      <w:r>
        <w:rPr>
          <w:b/>
          <w:bCs/>
        </w:rPr>
        <w:t xml:space="preserve">: </w:t>
      </w:r>
      <w:r w:rsidRPr="004E44ED">
        <w:rPr>
          <w:b/>
          <w:bCs/>
        </w:rPr>
        <w:t>Incumbent licensees have provided their granular data outlining their detailed use of the 4940-4990 MHz band to the FCC providing sufficient technical information about the incumbent users to proceed defining the new NR TDD 4940-4990 MHz band.</w:t>
      </w:r>
    </w:p>
    <w:p w14:paraId="646D5DF4" w14:textId="68BD1963" w:rsidR="00133C59" w:rsidRDefault="00133C59" w:rsidP="00561D86">
      <w:pPr>
        <w:ind w:left="360"/>
        <w:jc w:val="both"/>
        <w:rPr>
          <w:b/>
          <w:bCs/>
        </w:rPr>
      </w:pPr>
      <w:r w:rsidRPr="00AC3A2F">
        <w:rPr>
          <w:b/>
          <w:bCs/>
        </w:rPr>
        <w:t>Observation 3</w:t>
      </w:r>
      <w:r w:rsidRPr="00882856">
        <w:rPr>
          <w:b/>
          <w:bCs/>
        </w:rPr>
        <w:t xml:space="preserve">: Regardless of the technologies used the mechanism to provide coexistence protection to the incumbents is the Band Manager’s responsibility.  The Band manager will determine the best </w:t>
      </w:r>
      <w:r w:rsidR="00C05F3D" w:rsidRPr="00882856">
        <w:rPr>
          <w:b/>
          <w:bCs/>
        </w:rPr>
        <w:t>solution,</w:t>
      </w:r>
      <w:r w:rsidRPr="00882856">
        <w:rPr>
          <w:b/>
          <w:bCs/>
        </w:rPr>
        <w:t xml:space="preserve"> and the protection needed at what level they deem necessary; this could be as granular as site-by-site analysis if needed.  The decision and guidance are outside the scope of 3GPP.  The Band Manager reports to the FCC.</w:t>
      </w:r>
    </w:p>
    <w:p w14:paraId="0F00AC3E" w14:textId="07B4B5B2" w:rsidR="00133C59" w:rsidRDefault="00133C59" w:rsidP="00561D86">
      <w:pPr>
        <w:ind w:left="360"/>
        <w:jc w:val="both"/>
        <w:rPr>
          <w:b/>
          <w:bCs/>
        </w:rPr>
      </w:pPr>
      <w:r w:rsidRPr="00AC3A2F">
        <w:rPr>
          <w:b/>
          <w:bCs/>
        </w:rPr>
        <w:lastRenderedPageBreak/>
        <w:t>Observation 4</w:t>
      </w:r>
      <w:r w:rsidRPr="00882856">
        <w:rPr>
          <w:b/>
          <w:bCs/>
        </w:rPr>
        <w:t xml:space="preserve">:  There are no unique or enhanced emission limit requirements in the </w:t>
      </w:r>
      <w:r w:rsidRPr="0034431C">
        <w:rPr>
          <w:b/>
          <w:bCs/>
        </w:rPr>
        <w:t>FCC’s Seventh Report and Order and Ninth Further Notice of Proposed Rulemaking [2]</w:t>
      </w:r>
      <w:r w:rsidRPr="00882856">
        <w:rPr>
          <w:b/>
          <w:bCs/>
        </w:rPr>
        <w:t xml:space="preserve"> which impose emission limits more stringent than the normal BS and UE emission masks. Therefore,</w:t>
      </w:r>
      <w:r>
        <w:rPr>
          <w:b/>
          <w:bCs/>
        </w:rPr>
        <w:t xml:space="preserve"> </w:t>
      </w:r>
      <w:r w:rsidRPr="00882856">
        <w:rPr>
          <w:b/>
          <w:bCs/>
        </w:rPr>
        <w:t>no additional work or considerations are needed.</w:t>
      </w:r>
    </w:p>
    <w:p w14:paraId="678D35C8" w14:textId="77777777" w:rsidR="00895F92" w:rsidRDefault="00895F92" w:rsidP="00561D86">
      <w:pPr>
        <w:ind w:left="360"/>
        <w:jc w:val="both"/>
        <w:rPr>
          <w:b/>
          <w:bCs/>
        </w:rPr>
      </w:pPr>
    </w:p>
    <w:p w14:paraId="25D2B882" w14:textId="77777777" w:rsidR="00B97A24" w:rsidRPr="00805C45" w:rsidRDefault="00B97A24" w:rsidP="00561D86">
      <w:pPr>
        <w:jc w:val="both"/>
        <w:rPr>
          <w:rFonts w:ascii="Arial" w:eastAsia="Aptos" w:hAnsi="Arial" w:cs="Arial"/>
        </w:rPr>
      </w:pPr>
    </w:p>
    <w:p w14:paraId="1FFD0A00" w14:textId="77777777" w:rsidR="00B97A24" w:rsidRPr="00805C45" w:rsidRDefault="00B97A24" w:rsidP="00561D86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ptos Display" w:eastAsia="Times New Roman" w:hAnsi="Aptos Display" w:cs="Times New Roman"/>
          <w:color w:val="0F4761"/>
          <w:sz w:val="40"/>
          <w:szCs w:val="40"/>
        </w:rPr>
      </w:pPr>
      <w:r>
        <w:rPr>
          <w:rFonts w:ascii="Aptos Display" w:eastAsia="Times New Roman" w:hAnsi="Aptos Display" w:cs="Times New Roman"/>
          <w:color w:val="0F4761"/>
          <w:sz w:val="40"/>
          <w:szCs w:val="40"/>
        </w:rPr>
        <w:t>References</w:t>
      </w:r>
    </w:p>
    <w:p w14:paraId="4975735F" w14:textId="77777777" w:rsidR="00B97A24" w:rsidRDefault="00B97A24" w:rsidP="00561D86">
      <w:pPr>
        <w:pStyle w:val="FootnoteText"/>
        <w:jc w:val="both"/>
        <w:rPr>
          <w:rFonts w:ascii="Arial" w:hAnsi="Arial" w:cs="Arial"/>
          <w:sz w:val="24"/>
          <w:szCs w:val="24"/>
        </w:rPr>
      </w:pPr>
    </w:p>
    <w:p w14:paraId="39D7E764" w14:textId="6C490429" w:rsidR="00B97A24" w:rsidRDefault="00B97A24" w:rsidP="00561D86">
      <w:pPr>
        <w:pStyle w:val="FootnoteTex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70A1">
        <w:rPr>
          <w:rFonts w:ascii="Arial" w:hAnsi="Arial" w:cs="Arial"/>
          <w:sz w:val="24"/>
          <w:szCs w:val="24"/>
        </w:rPr>
        <w:t>RP-</w:t>
      </w:r>
      <w:r w:rsidR="005C6257" w:rsidRPr="00D470A1">
        <w:rPr>
          <w:rFonts w:ascii="Arial" w:hAnsi="Arial" w:cs="Arial"/>
          <w:sz w:val="24"/>
          <w:szCs w:val="24"/>
        </w:rPr>
        <w:t>25188</w:t>
      </w:r>
      <w:r w:rsidR="005C6257">
        <w:rPr>
          <w:rFonts w:ascii="Arial" w:hAnsi="Arial" w:cs="Arial"/>
          <w:sz w:val="24"/>
          <w:szCs w:val="24"/>
        </w:rPr>
        <w:t xml:space="preserve">7 </w:t>
      </w:r>
      <w:r>
        <w:rPr>
          <w:rFonts w:ascii="Arial" w:hAnsi="Arial" w:cs="Arial"/>
          <w:sz w:val="24"/>
          <w:szCs w:val="24"/>
        </w:rPr>
        <w:t>“</w:t>
      </w:r>
      <w:r w:rsidRPr="0052499F">
        <w:rPr>
          <w:rFonts w:ascii="Arial" w:hAnsi="Arial" w:cs="Arial"/>
          <w:sz w:val="24"/>
          <w:szCs w:val="24"/>
        </w:rPr>
        <w:t>New WID on Introduction of NR TDD 4.9GHz Band for US Operation</w:t>
      </w:r>
      <w:r>
        <w:rPr>
          <w:rFonts w:ascii="Arial" w:hAnsi="Arial" w:cs="Arial"/>
          <w:sz w:val="24"/>
          <w:szCs w:val="24"/>
        </w:rPr>
        <w:t xml:space="preserve">,” </w:t>
      </w:r>
      <w:r w:rsidRPr="002D3508">
        <w:rPr>
          <w:rFonts w:ascii="Arial" w:hAnsi="Arial" w:cs="Arial"/>
          <w:sz w:val="24"/>
          <w:szCs w:val="24"/>
        </w:rPr>
        <w:t>3GPP TSG RAN Meeting #108</w:t>
      </w:r>
      <w:r>
        <w:rPr>
          <w:rFonts w:ascii="Arial" w:hAnsi="Arial" w:cs="Arial"/>
          <w:sz w:val="24"/>
          <w:szCs w:val="24"/>
        </w:rPr>
        <w:t xml:space="preserve">, </w:t>
      </w:r>
      <w:r w:rsidRPr="008210D2">
        <w:rPr>
          <w:rFonts w:ascii="Arial" w:hAnsi="Arial" w:cs="Arial"/>
          <w:sz w:val="24"/>
          <w:szCs w:val="24"/>
        </w:rPr>
        <w:t>Prague, Czech Republic, June 09-13, 2025</w:t>
      </w:r>
      <w:r>
        <w:rPr>
          <w:rFonts w:ascii="Arial" w:hAnsi="Arial" w:cs="Arial"/>
          <w:sz w:val="24"/>
          <w:szCs w:val="24"/>
        </w:rPr>
        <w:t>.</w:t>
      </w:r>
    </w:p>
    <w:p w14:paraId="2AD4C60A" w14:textId="77777777" w:rsidR="00B97A24" w:rsidRPr="00936D26" w:rsidRDefault="00B97A24" w:rsidP="00561D86">
      <w:pPr>
        <w:pStyle w:val="FootnoteTex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36D26">
        <w:rPr>
          <w:rFonts w:ascii="Arial" w:hAnsi="Arial" w:cs="Arial"/>
          <w:sz w:val="24"/>
          <w:szCs w:val="24"/>
        </w:rPr>
        <w:t xml:space="preserve">See FCC’s Seventh Report and Order and Ninth Further Notice of Proposed Rulemaking, Docket 07-100 issued January 18, 2023 paragraphs 30,33,34,39,48 </w:t>
      </w:r>
      <w:hyperlink r:id="rId7" w:history="1">
        <w:r w:rsidRPr="00936D26">
          <w:rPr>
            <w:rFonts w:ascii="Arial" w:hAnsi="Arial" w:cs="Arial"/>
            <w:color w:val="0000FF"/>
            <w:sz w:val="24"/>
            <w:szCs w:val="24"/>
            <w:u w:val="single"/>
          </w:rPr>
          <w:t>FCC-23-3A1.pdf</w:t>
        </w:r>
      </w:hyperlink>
    </w:p>
    <w:p w14:paraId="3FBE37E3" w14:textId="6D1BC914" w:rsidR="00B97A24" w:rsidRPr="00882856" w:rsidRDefault="00B97A24" w:rsidP="00561D86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82856">
        <w:rPr>
          <w:rFonts w:ascii="Arial" w:hAnsi="Arial" w:cs="Arial"/>
        </w:rPr>
        <w:t>See FCC Universal Licensing Database, Radio Service Codes PF (Fixed Services) and PB (Base/Mobile and Temporary Fixed Operation)</w:t>
      </w:r>
      <w:r w:rsidRPr="00882856">
        <w:rPr>
          <w:rFonts w:ascii="Arial" w:hAnsi="Arial" w:cs="Arial"/>
          <w:color w:val="EE0000"/>
        </w:rPr>
        <w:t xml:space="preserve"> </w:t>
      </w:r>
      <w:r w:rsidRPr="00882856">
        <w:rPr>
          <w:rFonts w:ascii="Arial" w:hAnsi="Arial" w:cs="Arial"/>
        </w:rPr>
        <w:t xml:space="preserve"> </w:t>
      </w:r>
      <w:hyperlink r:id="rId8" w:history="1">
        <w:r w:rsidRPr="00882856">
          <w:rPr>
            <w:rStyle w:val="Hyperlink"/>
            <w:rFonts w:ascii="Arial" w:hAnsi="Arial" w:cs="Arial"/>
          </w:rPr>
          <w:t>License Search - Advanced License Search</w:t>
        </w:r>
      </w:hyperlink>
      <w:r>
        <w:rPr>
          <w:rFonts w:ascii="Arial" w:hAnsi="Arial" w:cs="Arial"/>
        </w:rPr>
        <w:t xml:space="preserve">. </w:t>
      </w:r>
      <w:r w:rsidRPr="00882856">
        <w:rPr>
          <w:rFonts w:ascii="Arial" w:hAnsi="Arial" w:cs="Arial"/>
        </w:rPr>
        <w:t xml:space="preserve">Note: When using the link, </w:t>
      </w:r>
      <w:r w:rsidR="0082784D" w:rsidRPr="00882856">
        <w:rPr>
          <w:rFonts w:ascii="Arial" w:hAnsi="Arial" w:cs="Arial"/>
        </w:rPr>
        <w:t>search for</w:t>
      </w:r>
      <w:r w:rsidRPr="00882856">
        <w:rPr>
          <w:rFonts w:ascii="Arial" w:hAnsi="Arial" w:cs="Arial"/>
        </w:rPr>
        <w:t xml:space="preserve"> Radio Service PF (Fixed Service using 4.9 GHz and PB (Base/Mobile-Temporary Fixed Operations)</w:t>
      </w:r>
    </w:p>
    <w:p w14:paraId="740FF69E" w14:textId="77777777" w:rsidR="00B97A24" w:rsidRPr="00745F55" w:rsidRDefault="00B97A24" w:rsidP="00561D86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82856">
        <w:rPr>
          <w:rFonts w:ascii="Arial" w:hAnsi="Arial" w:cs="Arial"/>
        </w:rPr>
        <w:t xml:space="preserve">47 CFR Part 90 – Private Land Mobile Radio Service, </w:t>
      </w:r>
      <w:hyperlink r:id="rId9" w:history="1">
        <w:r w:rsidRPr="00D452C4">
          <w:rPr>
            <w:rStyle w:val="Hyperlink"/>
            <w:rFonts w:ascii="Arial" w:hAnsi="Arial" w:cs="Arial"/>
          </w:rPr>
          <w:t>https://www.ecfr.gov/current/title-47/chapter-I/subchapter-D/part-90</w:t>
        </w:r>
      </w:hyperlink>
    </w:p>
    <w:p w14:paraId="359FFB6D" w14:textId="1CAB370E" w:rsidR="00F61D6B" w:rsidRPr="00882856" w:rsidRDefault="00F61D6B" w:rsidP="00561D86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F61D6B">
        <w:rPr>
          <w:rFonts w:ascii="Arial" w:hAnsi="Arial" w:cs="Arial"/>
        </w:rPr>
        <w:t xml:space="preserve">See FCC’s Eighth Report and Order, Docket No. 07-100 issued October 22, 2024; </w:t>
      </w:r>
      <w:hyperlink r:id="rId10" w:tgtFrame="_blank" w:tooltip="https://docs.fcc.gov/public/attachments/fcc-24-114a1_rcd.pdf" w:history="1">
        <w:r w:rsidRPr="00F61D6B">
          <w:rPr>
            <w:rStyle w:val="Hyperlink"/>
            <w:rFonts w:ascii="Arial" w:hAnsi="Arial" w:cs="Arial"/>
          </w:rPr>
          <w:t>FCC-24-114A1_Rcd.pdf</w:t>
        </w:r>
      </w:hyperlink>
    </w:p>
    <w:p w14:paraId="1D16F899" w14:textId="77777777" w:rsidR="00B027CC" w:rsidRDefault="00B027CC" w:rsidP="00561D86">
      <w:pPr>
        <w:jc w:val="both"/>
      </w:pPr>
    </w:p>
    <w:sectPr w:rsidR="00B027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1F4C" w14:textId="77777777" w:rsidR="00962F64" w:rsidRDefault="00962F64" w:rsidP="00936D26">
      <w:pPr>
        <w:spacing w:after="0" w:line="240" w:lineRule="auto"/>
      </w:pPr>
      <w:r>
        <w:separator/>
      </w:r>
    </w:p>
  </w:endnote>
  <w:endnote w:type="continuationSeparator" w:id="0">
    <w:p w14:paraId="2E880085" w14:textId="77777777" w:rsidR="00962F64" w:rsidRDefault="00962F64" w:rsidP="00936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AEFA" w14:textId="77777777" w:rsidR="00962F64" w:rsidRDefault="00962F64" w:rsidP="00936D26">
      <w:pPr>
        <w:spacing w:after="0" w:line="240" w:lineRule="auto"/>
      </w:pPr>
      <w:r>
        <w:separator/>
      </w:r>
    </w:p>
  </w:footnote>
  <w:footnote w:type="continuationSeparator" w:id="0">
    <w:p w14:paraId="49B8ADD2" w14:textId="77777777" w:rsidR="00962F64" w:rsidRDefault="00962F64" w:rsidP="00936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742B9"/>
    <w:multiLevelType w:val="hybridMultilevel"/>
    <w:tmpl w:val="D9728738"/>
    <w:lvl w:ilvl="0" w:tplc="6838BEBC">
      <w:start w:val="1"/>
      <w:numFmt w:val="decimal"/>
      <w:lvlText w:val="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A6340"/>
    <w:multiLevelType w:val="hybridMultilevel"/>
    <w:tmpl w:val="99421B6E"/>
    <w:lvl w:ilvl="0" w:tplc="C840E6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7844826">
    <w:abstractNumId w:val="2"/>
  </w:num>
  <w:num w:numId="2" w16cid:durableId="1040007790">
    <w:abstractNumId w:val="1"/>
  </w:num>
  <w:num w:numId="3" w16cid:durableId="78214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C45"/>
    <w:rsid w:val="000015F8"/>
    <w:rsid w:val="00003152"/>
    <w:rsid w:val="00013556"/>
    <w:rsid w:val="00014960"/>
    <w:rsid w:val="00017209"/>
    <w:rsid w:val="00020A04"/>
    <w:rsid w:val="00031819"/>
    <w:rsid w:val="00042EB1"/>
    <w:rsid w:val="00045B31"/>
    <w:rsid w:val="000504F1"/>
    <w:rsid w:val="00055BC3"/>
    <w:rsid w:val="00055F5F"/>
    <w:rsid w:val="0006178C"/>
    <w:rsid w:val="000802C3"/>
    <w:rsid w:val="00086EC0"/>
    <w:rsid w:val="00087438"/>
    <w:rsid w:val="000900A2"/>
    <w:rsid w:val="00094BA5"/>
    <w:rsid w:val="000953E7"/>
    <w:rsid w:val="000A1A9D"/>
    <w:rsid w:val="000C4913"/>
    <w:rsid w:val="000E07A1"/>
    <w:rsid w:val="000E168A"/>
    <w:rsid w:val="000E220F"/>
    <w:rsid w:val="000E33C6"/>
    <w:rsid w:val="000E52A9"/>
    <w:rsid w:val="000F675B"/>
    <w:rsid w:val="001077B3"/>
    <w:rsid w:val="00133C59"/>
    <w:rsid w:val="001374DC"/>
    <w:rsid w:val="00150C15"/>
    <w:rsid w:val="00151CE4"/>
    <w:rsid w:val="00161F3C"/>
    <w:rsid w:val="00162EDD"/>
    <w:rsid w:val="00163C6C"/>
    <w:rsid w:val="00163DFB"/>
    <w:rsid w:val="00184EB4"/>
    <w:rsid w:val="00186CAC"/>
    <w:rsid w:val="001A28CD"/>
    <w:rsid w:val="001B564E"/>
    <w:rsid w:val="001D48BC"/>
    <w:rsid w:val="001E2B5C"/>
    <w:rsid w:val="001E3F9C"/>
    <w:rsid w:val="001F652C"/>
    <w:rsid w:val="002048C1"/>
    <w:rsid w:val="00214612"/>
    <w:rsid w:val="002215A5"/>
    <w:rsid w:val="00223AD2"/>
    <w:rsid w:val="00227F6D"/>
    <w:rsid w:val="00234D6C"/>
    <w:rsid w:val="00253450"/>
    <w:rsid w:val="00253ED2"/>
    <w:rsid w:val="00254B06"/>
    <w:rsid w:val="002576CF"/>
    <w:rsid w:val="00260FA2"/>
    <w:rsid w:val="00281B73"/>
    <w:rsid w:val="002858B1"/>
    <w:rsid w:val="00292654"/>
    <w:rsid w:val="002931AB"/>
    <w:rsid w:val="00293D5B"/>
    <w:rsid w:val="002950FD"/>
    <w:rsid w:val="00295B0F"/>
    <w:rsid w:val="002A2042"/>
    <w:rsid w:val="002A7E84"/>
    <w:rsid w:val="002B3CFB"/>
    <w:rsid w:val="002B79A1"/>
    <w:rsid w:val="002D3508"/>
    <w:rsid w:val="002E3AE9"/>
    <w:rsid w:val="002F0A7B"/>
    <w:rsid w:val="00304140"/>
    <w:rsid w:val="00324862"/>
    <w:rsid w:val="00331EDF"/>
    <w:rsid w:val="00337F72"/>
    <w:rsid w:val="00343B33"/>
    <w:rsid w:val="0034431C"/>
    <w:rsid w:val="00355B93"/>
    <w:rsid w:val="00370FA9"/>
    <w:rsid w:val="0037540E"/>
    <w:rsid w:val="00380CD1"/>
    <w:rsid w:val="00382D1D"/>
    <w:rsid w:val="00384F8D"/>
    <w:rsid w:val="00387826"/>
    <w:rsid w:val="00391260"/>
    <w:rsid w:val="00395142"/>
    <w:rsid w:val="003D033B"/>
    <w:rsid w:val="003D2D12"/>
    <w:rsid w:val="003E5E92"/>
    <w:rsid w:val="003F7475"/>
    <w:rsid w:val="00402134"/>
    <w:rsid w:val="004143C1"/>
    <w:rsid w:val="00423C0F"/>
    <w:rsid w:val="00435D77"/>
    <w:rsid w:val="0045421E"/>
    <w:rsid w:val="00457672"/>
    <w:rsid w:val="00461F16"/>
    <w:rsid w:val="00475343"/>
    <w:rsid w:val="004773FF"/>
    <w:rsid w:val="00481AE7"/>
    <w:rsid w:val="00491609"/>
    <w:rsid w:val="004A2A82"/>
    <w:rsid w:val="004B058C"/>
    <w:rsid w:val="004B23AB"/>
    <w:rsid w:val="004B380A"/>
    <w:rsid w:val="004D172C"/>
    <w:rsid w:val="004E44ED"/>
    <w:rsid w:val="004F4DCA"/>
    <w:rsid w:val="004F7653"/>
    <w:rsid w:val="0052499F"/>
    <w:rsid w:val="00526C92"/>
    <w:rsid w:val="00547EE1"/>
    <w:rsid w:val="00561D86"/>
    <w:rsid w:val="00571DA4"/>
    <w:rsid w:val="00575C75"/>
    <w:rsid w:val="00591BD1"/>
    <w:rsid w:val="005A5C96"/>
    <w:rsid w:val="005C6257"/>
    <w:rsid w:val="005C790D"/>
    <w:rsid w:val="005D0862"/>
    <w:rsid w:val="005E4CC0"/>
    <w:rsid w:val="005E5148"/>
    <w:rsid w:val="005E6C67"/>
    <w:rsid w:val="005F31DF"/>
    <w:rsid w:val="00604008"/>
    <w:rsid w:val="00611B7D"/>
    <w:rsid w:val="00612787"/>
    <w:rsid w:val="00616F85"/>
    <w:rsid w:val="0062254B"/>
    <w:rsid w:val="00627D8C"/>
    <w:rsid w:val="006349EB"/>
    <w:rsid w:val="00634B83"/>
    <w:rsid w:val="00635866"/>
    <w:rsid w:val="00637CE6"/>
    <w:rsid w:val="00653F5A"/>
    <w:rsid w:val="00656C88"/>
    <w:rsid w:val="0067313B"/>
    <w:rsid w:val="006838C1"/>
    <w:rsid w:val="006852ED"/>
    <w:rsid w:val="0069761C"/>
    <w:rsid w:val="006B670C"/>
    <w:rsid w:val="006E258A"/>
    <w:rsid w:val="006F1357"/>
    <w:rsid w:val="00716EF1"/>
    <w:rsid w:val="007228CA"/>
    <w:rsid w:val="00724145"/>
    <w:rsid w:val="007277E6"/>
    <w:rsid w:val="00743498"/>
    <w:rsid w:val="007456CB"/>
    <w:rsid w:val="00745F55"/>
    <w:rsid w:val="00750AD9"/>
    <w:rsid w:val="00770E07"/>
    <w:rsid w:val="0077696D"/>
    <w:rsid w:val="00785A42"/>
    <w:rsid w:val="007A37F7"/>
    <w:rsid w:val="007A7FC5"/>
    <w:rsid w:val="007B0EBD"/>
    <w:rsid w:val="007B4E8F"/>
    <w:rsid w:val="007C06AF"/>
    <w:rsid w:val="007D2651"/>
    <w:rsid w:val="007E6A63"/>
    <w:rsid w:val="007F0A62"/>
    <w:rsid w:val="00805C45"/>
    <w:rsid w:val="00806B09"/>
    <w:rsid w:val="008210D2"/>
    <w:rsid w:val="008224B5"/>
    <w:rsid w:val="00822930"/>
    <w:rsid w:val="0082784D"/>
    <w:rsid w:val="008346A5"/>
    <w:rsid w:val="00835627"/>
    <w:rsid w:val="00837762"/>
    <w:rsid w:val="00857328"/>
    <w:rsid w:val="008910DE"/>
    <w:rsid w:val="00895F92"/>
    <w:rsid w:val="008973DE"/>
    <w:rsid w:val="008A51F9"/>
    <w:rsid w:val="008D7B64"/>
    <w:rsid w:val="008F15F6"/>
    <w:rsid w:val="008F6FEC"/>
    <w:rsid w:val="0090025B"/>
    <w:rsid w:val="00906AF2"/>
    <w:rsid w:val="00911A58"/>
    <w:rsid w:val="00917752"/>
    <w:rsid w:val="00917F9A"/>
    <w:rsid w:val="00921377"/>
    <w:rsid w:val="0093691A"/>
    <w:rsid w:val="00936D26"/>
    <w:rsid w:val="0095738D"/>
    <w:rsid w:val="00962F64"/>
    <w:rsid w:val="0097776D"/>
    <w:rsid w:val="009779D3"/>
    <w:rsid w:val="00980199"/>
    <w:rsid w:val="009A2190"/>
    <w:rsid w:val="009C2EAB"/>
    <w:rsid w:val="009C4540"/>
    <w:rsid w:val="009C4D98"/>
    <w:rsid w:val="009E03D6"/>
    <w:rsid w:val="009E40FD"/>
    <w:rsid w:val="009F46AF"/>
    <w:rsid w:val="009F6B74"/>
    <w:rsid w:val="00A13E79"/>
    <w:rsid w:val="00A242AA"/>
    <w:rsid w:val="00A43EFA"/>
    <w:rsid w:val="00A533BE"/>
    <w:rsid w:val="00A5506B"/>
    <w:rsid w:val="00A55708"/>
    <w:rsid w:val="00A577C9"/>
    <w:rsid w:val="00A7215F"/>
    <w:rsid w:val="00A75148"/>
    <w:rsid w:val="00A90D60"/>
    <w:rsid w:val="00A91C13"/>
    <w:rsid w:val="00A95886"/>
    <w:rsid w:val="00AA0C24"/>
    <w:rsid w:val="00AB0119"/>
    <w:rsid w:val="00AB260E"/>
    <w:rsid w:val="00AC3A2F"/>
    <w:rsid w:val="00AD0F41"/>
    <w:rsid w:val="00AD4125"/>
    <w:rsid w:val="00B027CC"/>
    <w:rsid w:val="00B05CF9"/>
    <w:rsid w:val="00B13285"/>
    <w:rsid w:val="00B179D7"/>
    <w:rsid w:val="00B21D38"/>
    <w:rsid w:val="00B220B9"/>
    <w:rsid w:val="00B24A35"/>
    <w:rsid w:val="00B30D1A"/>
    <w:rsid w:val="00B318CA"/>
    <w:rsid w:val="00B369E6"/>
    <w:rsid w:val="00B376E1"/>
    <w:rsid w:val="00B37945"/>
    <w:rsid w:val="00B53554"/>
    <w:rsid w:val="00B74D21"/>
    <w:rsid w:val="00B836B6"/>
    <w:rsid w:val="00B937D5"/>
    <w:rsid w:val="00B97A24"/>
    <w:rsid w:val="00BA3DF5"/>
    <w:rsid w:val="00BA775D"/>
    <w:rsid w:val="00BB473C"/>
    <w:rsid w:val="00BC2619"/>
    <w:rsid w:val="00BC4259"/>
    <w:rsid w:val="00BD2D39"/>
    <w:rsid w:val="00BD423A"/>
    <w:rsid w:val="00BD7B94"/>
    <w:rsid w:val="00BE6201"/>
    <w:rsid w:val="00BE6B79"/>
    <w:rsid w:val="00C0417F"/>
    <w:rsid w:val="00C05F3D"/>
    <w:rsid w:val="00C071C4"/>
    <w:rsid w:val="00C0726A"/>
    <w:rsid w:val="00C234F6"/>
    <w:rsid w:val="00C24361"/>
    <w:rsid w:val="00C272F9"/>
    <w:rsid w:val="00C33CE9"/>
    <w:rsid w:val="00C37BF8"/>
    <w:rsid w:val="00C53C1B"/>
    <w:rsid w:val="00C53C56"/>
    <w:rsid w:val="00C5557C"/>
    <w:rsid w:val="00C61C9F"/>
    <w:rsid w:val="00C71169"/>
    <w:rsid w:val="00C72B19"/>
    <w:rsid w:val="00C76B55"/>
    <w:rsid w:val="00C87DDB"/>
    <w:rsid w:val="00CB19FB"/>
    <w:rsid w:val="00CB36BE"/>
    <w:rsid w:val="00CC2DDE"/>
    <w:rsid w:val="00CC473E"/>
    <w:rsid w:val="00CF5F24"/>
    <w:rsid w:val="00D0515F"/>
    <w:rsid w:val="00D05254"/>
    <w:rsid w:val="00D22F48"/>
    <w:rsid w:val="00D328B0"/>
    <w:rsid w:val="00D355D6"/>
    <w:rsid w:val="00D452C4"/>
    <w:rsid w:val="00D470A1"/>
    <w:rsid w:val="00D52992"/>
    <w:rsid w:val="00D7119C"/>
    <w:rsid w:val="00D717B5"/>
    <w:rsid w:val="00D83164"/>
    <w:rsid w:val="00D85F27"/>
    <w:rsid w:val="00D948BF"/>
    <w:rsid w:val="00DB539C"/>
    <w:rsid w:val="00DB59B6"/>
    <w:rsid w:val="00DB6053"/>
    <w:rsid w:val="00DB7F9F"/>
    <w:rsid w:val="00DC4E33"/>
    <w:rsid w:val="00DC7122"/>
    <w:rsid w:val="00DD2289"/>
    <w:rsid w:val="00DD58B2"/>
    <w:rsid w:val="00DD7538"/>
    <w:rsid w:val="00DE5995"/>
    <w:rsid w:val="00DF7D25"/>
    <w:rsid w:val="00E03EA8"/>
    <w:rsid w:val="00E04419"/>
    <w:rsid w:val="00E0447F"/>
    <w:rsid w:val="00E170CA"/>
    <w:rsid w:val="00E22124"/>
    <w:rsid w:val="00E26E1C"/>
    <w:rsid w:val="00E341EA"/>
    <w:rsid w:val="00E349A3"/>
    <w:rsid w:val="00E46067"/>
    <w:rsid w:val="00E46632"/>
    <w:rsid w:val="00E4672B"/>
    <w:rsid w:val="00E544E7"/>
    <w:rsid w:val="00E714BE"/>
    <w:rsid w:val="00E75B8C"/>
    <w:rsid w:val="00E769C3"/>
    <w:rsid w:val="00E81184"/>
    <w:rsid w:val="00EA53AD"/>
    <w:rsid w:val="00EA713E"/>
    <w:rsid w:val="00EA73E0"/>
    <w:rsid w:val="00EB39E3"/>
    <w:rsid w:val="00EB3AAE"/>
    <w:rsid w:val="00EC3310"/>
    <w:rsid w:val="00ED2259"/>
    <w:rsid w:val="00ED46C3"/>
    <w:rsid w:val="00EE1906"/>
    <w:rsid w:val="00EF316F"/>
    <w:rsid w:val="00F04D98"/>
    <w:rsid w:val="00F10A13"/>
    <w:rsid w:val="00F25B80"/>
    <w:rsid w:val="00F25BA5"/>
    <w:rsid w:val="00F30AF3"/>
    <w:rsid w:val="00F373E0"/>
    <w:rsid w:val="00F41264"/>
    <w:rsid w:val="00F414C3"/>
    <w:rsid w:val="00F469E9"/>
    <w:rsid w:val="00F5293F"/>
    <w:rsid w:val="00F60BB2"/>
    <w:rsid w:val="00F61D6B"/>
    <w:rsid w:val="00F63FDE"/>
    <w:rsid w:val="00F94096"/>
    <w:rsid w:val="00FA1A98"/>
    <w:rsid w:val="00FB0AB1"/>
    <w:rsid w:val="00FC2C79"/>
    <w:rsid w:val="00FC59A4"/>
    <w:rsid w:val="00FC73BE"/>
    <w:rsid w:val="00FE2878"/>
    <w:rsid w:val="00FF0E06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FC931"/>
  <w15:chartTrackingRefBased/>
  <w15:docId w15:val="{D302DB6A-FF74-449F-9156-1BC4F88F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4B5"/>
  </w:style>
  <w:style w:type="paragraph" w:styleId="Heading1">
    <w:name w:val="heading 1"/>
    <w:basedOn w:val="Normal"/>
    <w:next w:val="Normal"/>
    <w:link w:val="Heading1Char"/>
    <w:uiPriority w:val="9"/>
    <w:qFormat/>
    <w:rsid w:val="00805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5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5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5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5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5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5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5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5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5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5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5C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5C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5C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5C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5C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5C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5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5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5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5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5C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5C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5C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5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5C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5C45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rsid w:val="00805C4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805C4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027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27CC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3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6D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6D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D26"/>
    <w:rPr>
      <w:vertAlign w:val="superscript"/>
    </w:rPr>
  </w:style>
  <w:style w:type="paragraph" w:styleId="Revision">
    <w:name w:val="Revision"/>
    <w:hidden/>
    <w:uiPriority w:val="99"/>
    <w:semiHidden/>
    <w:rsid w:val="0045767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539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5343"/>
    <w:rPr>
      <w:color w:val="605E5C"/>
      <w:shd w:val="clear" w:color="auto" w:fill="E1DFDD"/>
    </w:rPr>
  </w:style>
  <w:style w:type="paragraph" w:customStyle="1" w:styleId="CH">
    <w:name w:val="CH"/>
    <w:basedOn w:val="Normal"/>
    <w:rsid w:val="00F373E0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Times New Roman" w:hAnsi="Arial" w:cs="Arial"/>
      <w:b/>
      <w:kern w:val="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9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reless2.fcc.gov/UlsApp/UlsSearch/searchAdvanced.jsp;JSESSIONID_ULSSEARCH=VRcT47pPXPNwp0erW0HkWbwFPcey5_HHPrNNCuDWvbmej570BSMJ!-994396123!-3543639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fcc.gov/public/attachments/FCC-23-3A1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fcc.gov/public/attachments/FCC-24-114A1_Rc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fr.gov/current/title-47/chapter-I/subchapter-D/part-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FirstNet Authority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Lipford</dc:creator>
  <cp:keywords/>
  <dc:description/>
  <cp:lastModifiedBy>Satish Jha</cp:lastModifiedBy>
  <cp:revision>22</cp:revision>
  <dcterms:created xsi:type="dcterms:W3CDTF">2025-08-14T16:59:00Z</dcterms:created>
  <dcterms:modified xsi:type="dcterms:W3CDTF">2025-08-14T17:45:00Z</dcterms:modified>
</cp:coreProperties>
</file>